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Default="0046491C" w:rsidP="00701720">
      <w:pPr>
        <w:spacing w:after="0" w:line="360" w:lineRule="auto"/>
        <w:jc w:val="both"/>
        <w:rPr>
          <w:rFonts w:ascii="Palatino Linotype" w:hAnsi="Palatino Linotype" w:cs="Arial"/>
          <w:b/>
          <w:sz w:val="24"/>
          <w:szCs w:val="24"/>
        </w:rPr>
      </w:pPr>
      <w:r w:rsidRPr="00701720">
        <w:rPr>
          <w:rFonts w:ascii="Palatino Linotype" w:hAnsi="Palatino Linotype" w:cs="Arial"/>
          <w:b/>
          <w:sz w:val="24"/>
          <w:szCs w:val="24"/>
        </w:rPr>
        <w:t>VOTO PARTICULAR DEL COMISIONADO JOSÉ GUADA</w:t>
      </w:r>
      <w:r w:rsidR="00D72985" w:rsidRPr="00701720">
        <w:rPr>
          <w:rFonts w:ascii="Palatino Linotype" w:hAnsi="Palatino Linotype" w:cs="Arial"/>
          <w:b/>
          <w:sz w:val="24"/>
          <w:szCs w:val="24"/>
        </w:rPr>
        <w:t>LUPE LUNA HERNÁNDEZ DEL RECURSO</w:t>
      </w:r>
      <w:r w:rsidR="0026312A">
        <w:rPr>
          <w:rFonts w:ascii="Palatino Linotype" w:hAnsi="Palatino Linotype" w:cs="Arial"/>
          <w:b/>
          <w:sz w:val="24"/>
          <w:szCs w:val="24"/>
        </w:rPr>
        <w:t xml:space="preserve"> DE REVISIÓN 02376</w:t>
      </w:r>
      <w:r w:rsidR="007C168F">
        <w:rPr>
          <w:rFonts w:ascii="Palatino Linotype" w:hAnsi="Palatino Linotype" w:cs="Arial"/>
          <w:b/>
          <w:sz w:val="24"/>
          <w:szCs w:val="24"/>
        </w:rPr>
        <w:t>/INFOEM/IP/RR/2018</w:t>
      </w:r>
      <w:r w:rsidR="0026312A">
        <w:rPr>
          <w:rFonts w:ascii="Palatino Linotype" w:hAnsi="Palatino Linotype" w:cs="Arial"/>
          <w:b/>
          <w:sz w:val="24"/>
          <w:szCs w:val="24"/>
        </w:rPr>
        <w:t>.</w:t>
      </w:r>
    </w:p>
    <w:p w:rsidR="00902248" w:rsidRPr="00701720" w:rsidRDefault="00902248" w:rsidP="00701720">
      <w:pPr>
        <w:spacing w:after="0" w:line="360" w:lineRule="auto"/>
        <w:jc w:val="both"/>
        <w:rPr>
          <w:rFonts w:ascii="Palatino Linotype" w:hAnsi="Palatino Linotype" w:cs="Arial"/>
          <w:sz w:val="24"/>
          <w:szCs w:val="24"/>
        </w:rPr>
      </w:pPr>
    </w:p>
    <w:p w:rsidR="0046491C" w:rsidRPr="00701720" w:rsidRDefault="00721927" w:rsidP="00701720">
      <w:pPr>
        <w:spacing w:after="0" w:line="360" w:lineRule="auto"/>
        <w:jc w:val="both"/>
        <w:rPr>
          <w:rFonts w:ascii="Palatino Linotype" w:hAnsi="Palatino Linotype" w:cs="Arial"/>
          <w:b/>
          <w:sz w:val="24"/>
          <w:szCs w:val="24"/>
        </w:rPr>
      </w:pPr>
      <w:r>
        <w:rPr>
          <w:rFonts w:ascii="Palatino Linotype" w:hAnsi="Palatino Linotype" w:cs="Arial"/>
          <w:b/>
          <w:sz w:val="24"/>
          <w:szCs w:val="24"/>
        </w:rPr>
        <w:t>Resumen del voto</w:t>
      </w:r>
      <w:r w:rsidR="0046491C" w:rsidRPr="00701720">
        <w:rPr>
          <w:rFonts w:ascii="Palatino Linotype" w:hAnsi="Palatino Linotype" w:cs="Arial"/>
          <w:b/>
          <w:sz w:val="24"/>
          <w:szCs w:val="24"/>
        </w:rPr>
        <w:t>:</w:t>
      </w:r>
    </w:p>
    <w:p w:rsidR="00902248" w:rsidRPr="00701720" w:rsidRDefault="00902248" w:rsidP="00701720">
      <w:pPr>
        <w:spacing w:after="0" w:line="360" w:lineRule="auto"/>
        <w:jc w:val="both"/>
        <w:rPr>
          <w:rFonts w:ascii="Palatino Linotype" w:hAnsi="Palatino Linotype" w:cs="Arial"/>
          <w:sz w:val="24"/>
          <w:szCs w:val="24"/>
        </w:rPr>
      </w:pPr>
    </w:p>
    <w:p w:rsidR="00902248" w:rsidRPr="00701720" w:rsidRDefault="00A84F55" w:rsidP="00701720">
      <w:pPr>
        <w:spacing w:after="0" w:line="360" w:lineRule="auto"/>
        <w:jc w:val="both"/>
        <w:rPr>
          <w:rFonts w:ascii="Palatino Linotype" w:hAnsi="Palatino Linotype" w:cs="Arial"/>
          <w:b/>
          <w:sz w:val="24"/>
          <w:szCs w:val="24"/>
        </w:rPr>
      </w:pPr>
      <w:r w:rsidRPr="00701720">
        <w:rPr>
          <w:rFonts w:ascii="Palatino Linotype" w:hAnsi="Palatino Linotype" w:cs="Arial"/>
          <w:sz w:val="24"/>
          <w:szCs w:val="24"/>
        </w:rPr>
        <w:t xml:space="preserve">El sentido de la resolución debe ir acorde al fondo del asunto, siendo </w:t>
      </w:r>
      <w:r w:rsidR="00701720" w:rsidRPr="00701720">
        <w:rPr>
          <w:rFonts w:ascii="Palatino Linotype" w:hAnsi="Palatino Linotype" w:cs="Arial"/>
          <w:sz w:val="24"/>
          <w:szCs w:val="24"/>
        </w:rPr>
        <w:t>así</w:t>
      </w:r>
      <w:r w:rsidR="00721927">
        <w:rPr>
          <w:rFonts w:ascii="Palatino Linotype" w:hAnsi="Palatino Linotype" w:cs="Arial"/>
          <w:sz w:val="24"/>
          <w:szCs w:val="24"/>
        </w:rPr>
        <w:t xml:space="preserve"> que deben observar</w:t>
      </w:r>
      <w:r w:rsidRPr="00701720">
        <w:rPr>
          <w:rFonts w:ascii="Palatino Linotype" w:hAnsi="Palatino Linotype" w:cs="Arial"/>
          <w:sz w:val="24"/>
          <w:szCs w:val="24"/>
        </w:rPr>
        <w:t xml:space="preserve"> </w:t>
      </w:r>
      <w:r w:rsidR="00721927">
        <w:rPr>
          <w:rFonts w:ascii="Palatino Linotype" w:hAnsi="Palatino Linotype" w:cs="Arial"/>
          <w:sz w:val="24"/>
          <w:szCs w:val="24"/>
        </w:rPr>
        <w:t>los elementos que aporten las partes durante la sustanciación del procedimiento en cuestión, de forma tal que a través de ellos se aprecie de manera clara, los motivos que obligaron a resolver de determinada manera, de lo contrario, no se cumple con el principio de objetividad que rige al Órgano Garante.</w:t>
      </w:r>
      <w:r w:rsidR="00721927" w:rsidRPr="00701720">
        <w:rPr>
          <w:rFonts w:ascii="Palatino Linotype" w:hAnsi="Palatino Linotype" w:cs="Arial"/>
          <w:b/>
          <w:sz w:val="24"/>
          <w:szCs w:val="24"/>
        </w:rPr>
        <w:t xml:space="preserve"> </w:t>
      </w:r>
    </w:p>
    <w:p w:rsidR="00721927" w:rsidRPr="00701720" w:rsidRDefault="00721927" w:rsidP="00701720">
      <w:pPr>
        <w:spacing w:after="0" w:line="360" w:lineRule="auto"/>
        <w:jc w:val="both"/>
        <w:rPr>
          <w:rFonts w:ascii="Palatino Linotype" w:hAnsi="Palatino Linotype" w:cs="Arial"/>
          <w:b/>
          <w:sz w:val="24"/>
          <w:szCs w:val="24"/>
        </w:rPr>
      </w:pPr>
    </w:p>
    <w:p w:rsidR="0046491C" w:rsidRPr="00701720" w:rsidRDefault="0046491C" w:rsidP="00701720">
      <w:pPr>
        <w:spacing w:after="0" w:line="360" w:lineRule="auto"/>
        <w:jc w:val="both"/>
        <w:rPr>
          <w:rFonts w:ascii="Palatino Linotype" w:hAnsi="Palatino Linotype" w:cs="Arial"/>
          <w:sz w:val="24"/>
          <w:szCs w:val="24"/>
        </w:rPr>
      </w:pPr>
      <w:r w:rsidRPr="00701720">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701720" w:rsidRDefault="0046491C" w:rsidP="00701720">
          <w:pPr>
            <w:pStyle w:val="TtulodeTDC"/>
            <w:spacing w:line="360" w:lineRule="auto"/>
            <w:rPr>
              <w:rFonts w:ascii="Palatino Linotype" w:hAnsi="Palatino Linotype"/>
            </w:rPr>
          </w:pPr>
        </w:p>
        <w:p w:rsidR="00252533" w:rsidRDefault="0046491C">
          <w:pPr>
            <w:pStyle w:val="TDC1"/>
            <w:tabs>
              <w:tab w:val="left" w:pos="440"/>
              <w:tab w:val="right" w:leader="dot" w:pos="8828"/>
            </w:tabs>
            <w:rPr>
              <w:rFonts w:eastAsiaTheme="minorEastAsia"/>
              <w:noProof/>
              <w:lang w:eastAsia="es-MX"/>
            </w:rPr>
          </w:pPr>
          <w:r w:rsidRPr="00701720">
            <w:rPr>
              <w:rFonts w:ascii="Palatino Linotype" w:hAnsi="Palatino Linotype"/>
            </w:rPr>
            <w:fldChar w:fldCharType="begin"/>
          </w:r>
          <w:r w:rsidRPr="00701720">
            <w:rPr>
              <w:rFonts w:ascii="Palatino Linotype" w:hAnsi="Palatino Linotype"/>
            </w:rPr>
            <w:instrText xml:space="preserve"> TOC \o "1-3" \h \z \u </w:instrText>
          </w:r>
          <w:r w:rsidRPr="00701720">
            <w:rPr>
              <w:rFonts w:ascii="Palatino Linotype" w:hAnsi="Palatino Linotype"/>
            </w:rPr>
            <w:fldChar w:fldCharType="separate"/>
          </w:r>
          <w:hyperlink w:anchor="_Toc522548412" w:history="1">
            <w:r w:rsidR="00252533" w:rsidRPr="009610AA">
              <w:rPr>
                <w:rStyle w:val="Hipervnculo"/>
                <w:rFonts w:ascii="Palatino Linotype" w:hAnsi="Palatino Linotype"/>
                <w:b/>
                <w:noProof/>
              </w:rPr>
              <w:t>I.</w:t>
            </w:r>
            <w:r w:rsidR="00252533">
              <w:rPr>
                <w:rFonts w:eastAsiaTheme="minorEastAsia"/>
                <w:noProof/>
                <w:lang w:eastAsia="es-MX"/>
              </w:rPr>
              <w:tab/>
            </w:r>
            <w:r w:rsidR="00252533" w:rsidRPr="009610AA">
              <w:rPr>
                <w:rStyle w:val="Hipervnculo"/>
                <w:rFonts w:ascii="Palatino Linotype" w:hAnsi="Palatino Linotype"/>
                <w:b/>
                <w:noProof/>
              </w:rPr>
              <w:t>Consideraciones Generales.</w:t>
            </w:r>
            <w:r w:rsidR="00252533">
              <w:rPr>
                <w:noProof/>
                <w:webHidden/>
              </w:rPr>
              <w:tab/>
            </w:r>
            <w:r w:rsidR="00252533">
              <w:rPr>
                <w:noProof/>
                <w:webHidden/>
              </w:rPr>
              <w:fldChar w:fldCharType="begin"/>
            </w:r>
            <w:r w:rsidR="00252533">
              <w:rPr>
                <w:noProof/>
                <w:webHidden/>
              </w:rPr>
              <w:instrText xml:space="preserve"> PAGEREF _Toc522548412 \h </w:instrText>
            </w:r>
            <w:r w:rsidR="00252533">
              <w:rPr>
                <w:noProof/>
                <w:webHidden/>
              </w:rPr>
            </w:r>
            <w:r w:rsidR="00252533">
              <w:rPr>
                <w:noProof/>
                <w:webHidden/>
              </w:rPr>
              <w:fldChar w:fldCharType="separate"/>
            </w:r>
            <w:r w:rsidR="00252533">
              <w:rPr>
                <w:noProof/>
                <w:webHidden/>
              </w:rPr>
              <w:t>2</w:t>
            </w:r>
            <w:r w:rsidR="00252533">
              <w:rPr>
                <w:noProof/>
                <w:webHidden/>
              </w:rPr>
              <w:fldChar w:fldCharType="end"/>
            </w:r>
          </w:hyperlink>
        </w:p>
        <w:p w:rsidR="00252533" w:rsidRDefault="003C21D7">
          <w:pPr>
            <w:pStyle w:val="TDC1"/>
            <w:tabs>
              <w:tab w:val="left" w:pos="660"/>
              <w:tab w:val="right" w:leader="dot" w:pos="8828"/>
            </w:tabs>
            <w:rPr>
              <w:rFonts w:eastAsiaTheme="minorEastAsia"/>
              <w:noProof/>
              <w:lang w:eastAsia="es-MX"/>
            </w:rPr>
          </w:pPr>
          <w:hyperlink w:anchor="_Toc522548413" w:history="1">
            <w:r w:rsidR="00252533" w:rsidRPr="009610AA">
              <w:rPr>
                <w:rStyle w:val="Hipervnculo"/>
                <w:rFonts w:ascii="Palatino Linotype" w:hAnsi="Palatino Linotype"/>
                <w:b/>
                <w:noProof/>
              </w:rPr>
              <w:t>II.</w:t>
            </w:r>
            <w:r w:rsidR="00252533">
              <w:rPr>
                <w:rFonts w:eastAsiaTheme="minorEastAsia"/>
                <w:noProof/>
                <w:lang w:eastAsia="es-MX"/>
              </w:rPr>
              <w:tab/>
            </w:r>
            <w:r w:rsidR="00252533" w:rsidRPr="009610AA">
              <w:rPr>
                <w:rStyle w:val="Hipervnculo"/>
                <w:rFonts w:ascii="Palatino Linotype" w:hAnsi="Palatino Linotype"/>
                <w:b/>
                <w:noProof/>
              </w:rPr>
              <w:t>De los requerimientos planteados en el recurso de revisión.</w:t>
            </w:r>
            <w:r w:rsidR="00252533">
              <w:rPr>
                <w:noProof/>
                <w:webHidden/>
              </w:rPr>
              <w:tab/>
            </w:r>
            <w:r w:rsidR="00252533">
              <w:rPr>
                <w:noProof/>
                <w:webHidden/>
              </w:rPr>
              <w:fldChar w:fldCharType="begin"/>
            </w:r>
            <w:r w:rsidR="00252533">
              <w:rPr>
                <w:noProof/>
                <w:webHidden/>
              </w:rPr>
              <w:instrText xml:space="preserve"> PAGEREF _Toc522548413 \h </w:instrText>
            </w:r>
            <w:r w:rsidR="00252533">
              <w:rPr>
                <w:noProof/>
                <w:webHidden/>
              </w:rPr>
            </w:r>
            <w:r w:rsidR="00252533">
              <w:rPr>
                <w:noProof/>
                <w:webHidden/>
              </w:rPr>
              <w:fldChar w:fldCharType="separate"/>
            </w:r>
            <w:r w:rsidR="00252533">
              <w:rPr>
                <w:noProof/>
                <w:webHidden/>
              </w:rPr>
              <w:t>3</w:t>
            </w:r>
            <w:r w:rsidR="00252533">
              <w:rPr>
                <w:noProof/>
                <w:webHidden/>
              </w:rPr>
              <w:fldChar w:fldCharType="end"/>
            </w:r>
          </w:hyperlink>
        </w:p>
        <w:p w:rsidR="00252533" w:rsidRDefault="003C21D7">
          <w:pPr>
            <w:pStyle w:val="TDC1"/>
            <w:tabs>
              <w:tab w:val="left" w:pos="660"/>
              <w:tab w:val="right" w:leader="dot" w:pos="8828"/>
            </w:tabs>
            <w:rPr>
              <w:rFonts w:eastAsiaTheme="minorEastAsia"/>
              <w:noProof/>
              <w:lang w:eastAsia="es-MX"/>
            </w:rPr>
          </w:pPr>
          <w:hyperlink w:anchor="_Toc522548414" w:history="1">
            <w:r w:rsidR="00252533" w:rsidRPr="009610AA">
              <w:rPr>
                <w:rStyle w:val="Hipervnculo"/>
                <w:rFonts w:ascii="Palatino Linotype" w:hAnsi="Palatino Linotype"/>
                <w:b/>
                <w:noProof/>
              </w:rPr>
              <w:t>III.</w:t>
            </w:r>
            <w:r w:rsidR="00252533">
              <w:rPr>
                <w:rFonts w:eastAsiaTheme="minorEastAsia"/>
                <w:noProof/>
                <w:lang w:eastAsia="es-MX"/>
              </w:rPr>
              <w:tab/>
            </w:r>
            <w:r w:rsidR="00252533" w:rsidRPr="009610AA">
              <w:rPr>
                <w:rStyle w:val="Hipervnculo"/>
                <w:rFonts w:ascii="Palatino Linotype" w:hAnsi="Palatino Linotype"/>
                <w:b/>
                <w:noProof/>
              </w:rPr>
              <w:t>Del sentido de la resolución.</w:t>
            </w:r>
            <w:r w:rsidR="00252533">
              <w:rPr>
                <w:noProof/>
                <w:webHidden/>
              </w:rPr>
              <w:tab/>
            </w:r>
            <w:r w:rsidR="00252533">
              <w:rPr>
                <w:noProof/>
                <w:webHidden/>
              </w:rPr>
              <w:fldChar w:fldCharType="begin"/>
            </w:r>
            <w:r w:rsidR="00252533">
              <w:rPr>
                <w:noProof/>
                <w:webHidden/>
              </w:rPr>
              <w:instrText xml:space="preserve"> PAGEREF _Toc522548414 \h </w:instrText>
            </w:r>
            <w:r w:rsidR="00252533">
              <w:rPr>
                <w:noProof/>
                <w:webHidden/>
              </w:rPr>
            </w:r>
            <w:r w:rsidR="00252533">
              <w:rPr>
                <w:noProof/>
                <w:webHidden/>
              </w:rPr>
              <w:fldChar w:fldCharType="separate"/>
            </w:r>
            <w:r w:rsidR="00252533">
              <w:rPr>
                <w:noProof/>
                <w:webHidden/>
              </w:rPr>
              <w:t>4</w:t>
            </w:r>
            <w:r w:rsidR="00252533">
              <w:rPr>
                <w:noProof/>
                <w:webHidden/>
              </w:rPr>
              <w:fldChar w:fldCharType="end"/>
            </w:r>
          </w:hyperlink>
        </w:p>
        <w:p w:rsidR="00252533" w:rsidRDefault="003C21D7">
          <w:pPr>
            <w:pStyle w:val="TDC1"/>
            <w:tabs>
              <w:tab w:val="left" w:pos="660"/>
              <w:tab w:val="right" w:leader="dot" w:pos="8828"/>
            </w:tabs>
            <w:rPr>
              <w:rFonts w:eastAsiaTheme="minorEastAsia"/>
              <w:noProof/>
              <w:lang w:eastAsia="es-MX"/>
            </w:rPr>
          </w:pPr>
          <w:hyperlink w:anchor="_Toc522548415" w:history="1">
            <w:r w:rsidR="00252533" w:rsidRPr="009610AA">
              <w:rPr>
                <w:rStyle w:val="Hipervnculo"/>
                <w:rFonts w:ascii="Palatino Linotype" w:hAnsi="Palatino Linotype"/>
                <w:b/>
                <w:noProof/>
              </w:rPr>
              <w:t>IV.</w:t>
            </w:r>
            <w:r w:rsidR="00252533">
              <w:rPr>
                <w:rFonts w:eastAsiaTheme="minorEastAsia"/>
                <w:noProof/>
                <w:lang w:eastAsia="es-MX"/>
              </w:rPr>
              <w:tab/>
            </w:r>
            <w:r w:rsidR="00252533" w:rsidRPr="009610AA">
              <w:rPr>
                <w:rStyle w:val="Hipervnculo"/>
                <w:rFonts w:ascii="Palatino Linotype" w:hAnsi="Palatino Linotype"/>
                <w:b/>
                <w:noProof/>
              </w:rPr>
              <w:t>Conclusión</w:t>
            </w:r>
            <w:r w:rsidR="00252533">
              <w:rPr>
                <w:noProof/>
                <w:webHidden/>
              </w:rPr>
              <w:tab/>
            </w:r>
            <w:r w:rsidR="00252533">
              <w:rPr>
                <w:noProof/>
                <w:webHidden/>
              </w:rPr>
              <w:fldChar w:fldCharType="begin"/>
            </w:r>
            <w:r w:rsidR="00252533">
              <w:rPr>
                <w:noProof/>
                <w:webHidden/>
              </w:rPr>
              <w:instrText xml:space="preserve"> PAGEREF _Toc522548415 \h </w:instrText>
            </w:r>
            <w:r w:rsidR="00252533">
              <w:rPr>
                <w:noProof/>
                <w:webHidden/>
              </w:rPr>
            </w:r>
            <w:r w:rsidR="00252533">
              <w:rPr>
                <w:noProof/>
                <w:webHidden/>
              </w:rPr>
              <w:fldChar w:fldCharType="separate"/>
            </w:r>
            <w:r w:rsidR="00252533">
              <w:rPr>
                <w:noProof/>
                <w:webHidden/>
              </w:rPr>
              <w:t>9</w:t>
            </w:r>
            <w:r w:rsidR="00252533">
              <w:rPr>
                <w:noProof/>
                <w:webHidden/>
              </w:rPr>
              <w:fldChar w:fldCharType="end"/>
            </w:r>
          </w:hyperlink>
        </w:p>
        <w:p w:rsidR="0046491C" w:rsidRPr="00701720" w:rsidRDefault="0046491C" w:rsidP="00701720">
          <w:pPr>
            <w:spacing w:line="360" w:lineRule="auto"/>
            <w:rPr>
              <w:rFonts w:ascii="Palatino Linotype" w:hAnsi="Palatino Linotype"/>
            </w:rPr>
          </w:pPr>
          <w:r w:rsidRPr="00701720">
            <w:rPr>
              <w:rFonts w:ascii="Palatino Linotype" w:hAnsi="Palatino Linotype"/>
              <w:b/>
              <w:bCs/>
              <w:lang w:val="es-ES"/>
            </w:rPr>
            <w:fldChar w:fldCharType="end"/>
          </w:r>
        </w:p>
      </w:sdtContent>
    </w:sdt>
    <w:p w:rsidR="00721927" w:rsidRDefault="00721927" w:rsidP="00721927">
      <w:pPr>
        <w:pStyle w:val="Ttulo1"/>
        <w:spacing w:line="360" w:lineRule="auto"/>
        <w:ind w:left="1080"/>
        <w:rPr>
          <w:rFonts w:ascii="Palatino Linotype" w:hAnsi="Palatino Linotype"/>
          <w:b/>
          <w:color w:val="auto"/>
          <w:sz w:val="24"/>
          <w:szCs w:val="24"/>
        </w:rPr>
      </w:pPr>
    </w:p>
    <w:p w:rsidR="00721927" w:rsidRDefault="00721927" w:rsidP="00721927"/>
    <w:p w:rsidR="00995F32" w:rsidRDefault="00995F32" w:rsidP="00721927"/>
    <w:p w:rsidR="00721927" w:rsidRPr="00721927" w:rsidRDefault="00721927" w:rsidP="00721927"/>
    <w:p w:rsidR="0046491C" w:rsidRPr="00701720" w:rsidRDefault="0046491C" w:rsidP="00701720">
      <w:pPr>
        <w:pStyle w:val="Ttulo1"/>
        <w:numPr>
          <w:ilvl w:val="0"/>
          <w:numId w:val="12"/>
        </w:numPr>
        <w:spacing w:line="360" w:lineRule="auto"/>
        <w:rPr>
          <w:rFonts w:ascii="Palatino Linotype" w:hAnsi="Palatino Linotype"/>
          <w:b/>
          <w:color w:val="auto"/>
          <w:sz w:val="24"/>
          <w:szCs w:val="24"/>
        </w:rPr>
      </w:pPr>
      <w:bookmarkStart w:id="0" w:name="_Toc522548412"/>
      <w:r w:rsidRPr="00701720">
        <w:rPr>
          <w:rFonts w:ascii="Palatino Linotype" w:hAnsi="Palatino Linotype"/>
          <w:b/>
          <w:color w:val="auto"/>
          <w:sz w:val="24"/>
          <w:szCs w:val="24"/>
        </w:rPr>
        <w:lastRenderedPageBreak/>
        <w:t>Consideraciones Generales.</w:t>
      </w:r>
      <w:bookmarkEnd w:id="0"/>
    </w:p>
    <w:p w:rsidR="0046491C" w:rsidRPr="00701720" w:rsidRDefault="0046491C" w:rsidP="00701720">
      <w:pPr>
        <w:pStyle w:val="Prrafodelista"/>
        <w:spacing w:after="0" w:line="360" w:lineRule="auto"/>
        <w:ind w:left="1080"/>
        <w:jc w:val="both"/>
        <w:rPr>
          <w:rFonts w:ascii="Palatino Linotype" w:hAnsi="Palatino Linotype" w:cs="Arial"/>
          <w:b/>
          <w:sz w:val="24"/>
          <w:szCs w:val="24"/>
        </w:rPr>
      </w:pPr>
    </w:p>
    <w:p w:rsidR="0046491C" w:rsidRPr="00701720" w:rsidRDefault="0046491C" w:rsidP="00701720">
      <w:pPr>
        <w:pStyle w:val="Prrafodelista"/>
        <w:numPr>
          <w:ilvl w:val="0"/>
          <w:numId w:val="1"/>
        </w:numPr>
        <w:spacing w:after="0" w:line="360" w:lineRule="auto"/>
        <w:ind w:left="426"/>
        <w:jc w:val="both"/>
        <w:rPr>
          <w:rFonts w:ascii="Palatino Linotype" w:hAnsi="Palatino Linotype" w:cs="Arial"/>
          <w:sz w:val="24"/>
          <w:szCs w:val="24"/>
        </w:rPr>
      </w:pPr>
      <w:r w:rsidRPr="00701720">
        <w:rPr>
          <w:rFonts w:ascii="Palatino Linotype" w:eastAsia="Times New Roman" w:hAnsi="Palatino Linotype" w:cs="Arial"/>
          <w:sz w:val="24"/>
          <w:szCs w:val="24"/>
          <w:lang w:val="es-ES_tradnl"/>
        </w:rPr>
        <w:t xml:space="preserve">He concurrido con mi </w:t>
      </w:r>
      <w:r w:rsidR="00D33AF9" w:rsidRPr="00701720">
        <w:rPr>
          <w:rFonts w:ascii="Palatino Linotype" w:eastAsia="Times New Roman" w:hAnsi="Palatino Linotype" w:cs="Arial"/>
          <w:sz w:val="24"/>
          <w:szCs w:val="24"/>
          <w:lang w:val="es-ES_tradnl"/>
        </w:rPr>
        <w:t>voto</w:t>
      </w:r>
      <w:r w:rsidRPr="00701720">
        <w:rPr>
          <w:rFonts w:ascii="Palatino Linotype" w:eastAsia="Times New Roman" w:hAnsi="Palatino Linotype" w:cs="Arial"/>
          <w:sz w:val="24"/>
          <w:szCs w:val="24"/>
          <w:lang w:val="es-ES_tradnl"/>
        </w:rPr>
        <w:t xml:space="preserve"> particular de la presente resolución emitida </w:t>
      </w:r>
      <w:r w:rsidRPr="00701720">
        <w:rPr>
          <w:rFonts w:ascii="Palatino Linotype" w:hAnsi="Palatino Linotype" w:cs="Arial"/>
          <w:sz w:val="24"/>
          <w:szCs w:val="24"/>
        </w:rPr>
        <w:t>por el Pleno del Instituto de Transparencia, Acceso a la Información Pública y Protección de Datos Personales del Estado de Méxi</w:t>
      </w:r>
      <w:r w:rsidR="002C1F75" w:rsidRPr="00701720">
        <w:rPr>
          <w:rFonts w:ascii="Palatino Linotype" w:hAnsi="Palatino Linotype" w:cs="Arial"/>
          <w:sz w:val="24"/>
          <w:szCs w:val="24"/>
        </w:rPr>
        <w:t xml:space="preserve">co y Municipios, en su </w:t>
      </w:r>
      <w:r w:rsidR="007C168F">
        <w:rPr>
          <w:rFonts w:ascii="Palatino Linotype" w:hAnsi="Palatino Linotype" w:cs="Arial"/>
          <w:sz w:val="24"/>
          <w:szCs w:val="24"/>
        </w:rPr>
        <w:t>Vigésima Novena</w:t>
      </w:r>
      <w:r w:rsidRPr="00701720">
        <w:rPr>
          <w:rFonts w:ascii="Palatino Linotype" w:hAnsi="Palatino Linotype" w:cs="Arial"/>
          <w:sz w:val="24"/>
          <w:szCs w:val="24"/>
        </w:rPr>
        <w:t xml:space="preserve"> </w:t>
      </w:r>
      <w:r w:rsidR="007C168F">
        <w:rPr>
          <w:rFonts w:ascii="Palatino Linotype" w:hAnsi="Palatino Linotype" w:cs="Arial"/>
          <w:sz w:val="24"/>
          <w:szCs w:val="24"/>
        </w:rPr>
        <w:t>Sesión O</w:t>
      </w:r>
      <w:r w:rsidRPr="00701720">
        <w:rPr>
          <w:rFonts w:ascii="Palatino Linotype" w:hAnsi="Palatino Linotype" w:cs="Arial"/>
          <w:sz w:val="24"/>
          <w:szCs w:val="24"/>
        </w:rPr>
        <w:t xml:space="preserve">rdinaria de fecha </w:t>
      </w:r>
      <w:r w:rsidR="007C168F">
        <w:rPr>
          <w:rFonts w:ascii="Palatino Linotype" w:hAnsi="Palatino Linotype" w:cs="Arial"/>
          <w:sz w:val="24"/>
          <w:szCs w:val="24"/>
        </w:rPr>
        <w:t>quince</w:t>
      </w:r>
      <w:r w:rsidRPr="00701720">
        <w:rPr>
          <w:rFonts w:ascii="Palatino Linotype" w:hAnsi="Palatino Linotype" w:cs="Arial"/>
          <w:sz w:val="24"/>
          <w:szCs w:val="24"/>
        </w:rPr>
        <w:t xml:space="preserve"> (</w:t>
      </w:r>
      <w:r w:rsidR="007C168F">
        <w:rPr>
          <w:rFonts w:ascii="Palatino Linotype" w:hAnsi="Palatino Linotype" w:cs="Arial"/>
          <w:sz w:val="24"/>
          <w:szCs w:val="24"/>
        </w:rPr>
        <w:t>15</w:t>
      </w:r>
      <w:r w:rsidRPr="00701720">
        <w:rPr>
          <w:rFonts w:ascii="Palatino Linotype" w:hAnsi="Palatino Linotype" w:cs="Arial"/>
          <w:sz w:val="24"/>
          <w:szCs w:val="24"/>
        </w:rPr>
        <w:t xml:space="preserve">) de </w:t>
      </w:r>
      <w:r w:rsidR="007C168F">
        <w:rPr>
          <w:rFonts w:ascii="Palatino Linotype" w:hAnsi="Palatino Linotype" w:cs="Arial"/>
          <w:sz w:val="24"/>
          <w:szCs w:val="24"/>
        </w:rPr>
        <w:t>agosto</w:t>
      </w:r>
      <w:r w:rsidRPr="00701720">
        <w:rPr>
          <w:rFonts w:ascii="Palatino Linotype" w:hAnsi="Palatino Linotype" w:cs="Arial"/>
          <w:sz w:val="24"/>
          <w:szCs w:val="24"/>
        </w:rPr>
        <w:t xml:space="preserve"> de dos mil </w:t>
      </w:r>
      <w:r w:rsidR="007C168F">
        <w:rPr>
          <w:rFonts w:ascii="Palatino Linotype" w:hAnsi="Palatino Linotype" w:cs="Arial"/>
          <w:sz w:val="24"/>
          <w:szCs w:val="24"/>
        </w:rPr>
        <w:t>dieciocho</w:t>
      </w:r>
      <w:r w:rsidRPr="00701720">
        <w:rPr>
          <w:rFonts w:ascii="Palatino Linotype" w:hAnsi="Palatino Linotype" w:cs="Arial"/>
          <w:sz w:val="24"/>
          <w:szCs w:val="24"/>
        </w:rPr>
        <w:t>, en el recurso</w:t>
      </w:r>
      <w:r w:rsidR="002C1F75" w:rsidRPr="00701720">
        <w:rPr>
          <w:rFonts w:ascii="Palatino Linotype" w:hAnsi="Palatino Linotype" w:cs="Arial"/>
          <w:sz w:val="24"/>
          <w:szCs w:val="24"/>
        </w:rPr>
        <w:t xml:space="preserve"> de revisión promovido</w:t>
      </w:r>
      <w:r w:rsidRPr="00701720">
        <w:rPr>
          <w:rFonts w:ascii="Palatino Linotype" w:hAnsi="Palatino Linotype" w:cs="Arial"/>
          <w:sz w:val="24"/>
          <w:szCs w:val="24"/>
        </w:rPr>
        <w:t xml:space="preserve"> por</w:t>
      </w:r>
      <w:r w:rsidR="007314F4">
        <w:rPr>
          <w:rFonts w:ascii="Palatino Linotype" w:hAnsi="Palatino Linotype" w:cs="Arial"/>
          <w:sz w:val="24"/>
          <w:szCs w:val="24"/>
        </w:rPr>
        <w:t xml:space="preserve"> XXXXXXXX</w:t>
      </w:r>
      <w:r w:rsidRPr="00701720">
        <w:rPr>
          <w:rFonts w:ascii="Palatino Linotype" w:hAnsi="Palatino Linotype" w:cs="Arial"/>
          <w:sz w:val="24"/>
          <w:szCs w:val="24"/>
        </w:rPr>
        <w:t>,</w:t>
      </w:r>
      <w:r w:rsidRPr="00701720">
        <w:rPr>
          <w:rFonts w:ascii="Palatino Linotype" w:hAnsi="Palatino Linotype" w:cs="Arial"/>
          <w:b/>
          <w:sz w:val="24"/>
          <w:szCs w:val="24"/>
        </w:rPr>
        <w:t xml:space="preserve"> </w:t>
      </w:r>
      <w:r w:rsidRPr="00701720">
        <w:rPr>
          <w:rFonts w:ascii="Palatino Linotype" w:hAnsi="Palatino Linotype" w:cs="Arial"/>
          <w:sz w:val="24"/>
          <w:szCs w:val="24"/>
        </w:rPr>
        <w:t>en contra de la</w:t>
      </w:r>
      <w:r w:rsidR="00902248" w:rsidRPr="00701720">
        <w:rPr>
          <w:rFonts w:ascii="Palatino Linotype" w:hAnsi="Palatino Linotype" w:cs="Arial"/>
          <w:sz w:val="24"/>
          <w:szCs w:val="24"/>
        </w:rPr>
        <w:t>s</w:t>
      </w:r>
      <w:r w:rsidRPr="00701720">
        <w:rPr>
          <w:rFonts w:ascii="Palatino Linotype" w:hAnsi="Palatino Linotype" w:cs="Arial"/>
          <w:sz w:val="24"/>
          <w:szCs w:val="24"/>
        </w:rPr>
        <w:t xml:space="preserve"> respuesta de</w:t>
      </w:r>
      <w:r w:rsidR="007C168F">
        <w:rPr>
          <w:rFonts w:ascii="Palatino Linotype" w:hAnsi="Palatino Linotype" w:cs="Arial"/>
          <w:sz w:val="24"/>
          <w:szCs w:val="24"/>
        </w:rPr>
        <w:t xml:space="preserve"> </w:t>
      </w:r>
      <w:r w:rsidRPr="00701720">
        <w:rPr>
          <w:rFonts w:ascii="Palatino Linotype" w:hAnsi="Palatino Linotype" w:cs="Arial"/>
          <w:sz w:val="24"/>
          <w:szCs w:val="24"/>
        </w:rPr>
        <w:t>l</w:t>
      </w:r>
      <w:r w:rsidR="007C168F">
        <w:rPr>
          <w:rFonts w:ascii="Palatino Linotype" w:hAnsi="Palatino Linotype" w:cs="Arial"/>
          <w:sz w:val="24"/>
          <w:szCs w:val="24"/>
        </w:rPr>
        <w:t>a</w:t>
      </w:r>
      <w:r w:rsidRPr="00701720">
        <w:rPr>
          <w:rFonts w:ascii="Palatino Linotype" w:hAnsi="Palatino Linotype" w:cs="Arial"/>
          <w:sz w:val="24"/>
          <w:szCs w:val="24"/>
        </w:rPr>
        <w:t xml:space="preserve"> </w:t>
      </w:r>
      <w:r w:rsidR="0026312A">
        <w:rPr>
          <w:rFonts w:ascii="Palatino Linotype" w:hAnsi="Palatino Linotype" w:cs="Arial"/>
          <w:b/>
        </w:rPr>
        <w:t>Secretaría de Desarrollo Urbano y Metropolitano</w:t>
      </w:r>
      <w:r w:rsidRPr="00701720">
        <w:rPr>
          <w:rFonts w:ascii="Palatino Linotype" w:hAnsi="Palatino Linotype" w:cs="Arial"/>
          <w:sz w:val="24"/>
          <w:szCs w:val="24"/>
        </w:rPr>
        <w:t>, procedimiento a</w:t>
      </w:r>
      <w:r w:rsidR="0000525F" w:rsidRPr="00701720">
        <w:rPr>
          <w:rFonts w:ascii="Palatino Linotype" w:hAnsi="Palatino Linotype" w:cs="Arial"/>
          <w:sz w:val="24"/>
          <w:szCs w:val="24"/>
        </w:rPr>
        <w:t>l</w:t>
      </w:r>
      <w:r w:rsidR="00902248" w:rsidRPr="00701720">
        <w:rPr>
          <w:rFonts w:ascii="Palatino Linotype" w:hAnsi="Palatino Linotype" w:cs="Arial"/>
          <w:sz w:val="24"/>
          <w:szCs w:val="24"/>
        </w:rPr>
        <w:t xml:space="preserve"> que se le asignó </w:t>
      </w:r>
      <w:r w:rsidR="0000525F" w:rsidRPr="00701720">
        <w:rPr>
          <w:rFonts w:ascii="Palatino Linotype" w:hAnsi="Palatino Linotype" w:cs="Arial"/>
          <w:sz w:val="24"/>
          <w:szCs w:val="24"/>
        </w:rPr>
        <w:t>el</w:t>
      </w:r>
      <w:r w:rsidRPr="00701720">
        <w:rPr>
          <w:rFonts w:ascii="Palatino Linotype" w:hAnsi="Palatino Linotype" w:cs="Arial"/>
          <w:sz w:val="24"/>
          <w:szCs w:val="24"/>
        </w:rPr>
        <w:t xml:space="preserve"> número de expediente </w:t>
      </w:r>
      <w:r w:rsidR="0026312A">
        <w:rPr>
          <w:rFonts w:ascii="Palatino Linotype" w:hAnsi="Palatino Linotype" w:cs="Arial"/>
          <w:b/>
          <w:bCs/>
        </w:rPr>
        <w:t>02376/INFOEM/IP/RR/2018</w:t>
      </w:r>
      <w:r w:rsidR="007C168F">
        <w:rPr>
          <w:rFonts w:ascii="Palatino Linotype" w:eastAsia="Times New Roman" w:hAnsi="Palatino Linotype" w:cs="Arial"/>
          <w:b/>
          <w:bCs/>
          <w:sz w:val="24"/>
          <w:szCs w:val="24"/>
          <w:lang w:eastAsia="es-ES"/>
        </w:rPr>
        <w:t>.</w:t>
      </w:r>
    </w:p>
    <w:p w:rsidR="0000525F" w:rsidRPr="00701720" w:rsidRDefault="0000525F" w:rsidP="00701720">
      <w:pPr>
        <w:pStyle w:val="Prrafodelista"/>
        <w:spacing w:after="0" w:line="360" w:lineRule="auto"/>
        <w:ind w:left="426"/>
        <w:jc w:val="both"/>
        <w:rPr>
          <w:rFonts w:ascii="Palatino Linotype" w:hAnsi="Palatino Linotype" w:cs="Arial"/>
          <w:sz w:val="24"/>
          <w:szCs w:val="24"/>
        </w:rPr>
      </w:pPr>
    </w:p>
    <w:p w:rsidR="007C168F" w:rsidRDefault="0046491C" w:rsidP="00037F6C">
      <w:pPr>
        <w:pStyle w:val="Prrafodelista"/>
        <w:numPr>
          <w:ilvl w:val="0"/>
          <w:numId w:val="1"/>
        </w:numPr>
        <w:spacing w:after="0" w:line="360" w:lineRule="auto"/>
        <w:jc w:val="both"/>
        <w:rPr>
          <w:rFonts w:ascii="Palatino Linotype" w:hAnsi="Palatino Linotype" w:cs="Arial"/>
          <w:sz w:val="24"/>
          <w:szCs w:val="24"/>
        </w:rPr>
      </w:pPr>
      <w:r w:rsidRPr="0026312A">
        <w:rPr>
          <w:rFonts w:ascii="Palatino Linotype" w:hAnsi="Palatino Linotype" w:cs="Arial"/>
          <w:sz w:val="24"/>
          <w:szCs w:val="24"/>
        </w:rPr>
        <w:t xml:space="preserve">Mi </w:t>
      </w:r>
      <w:r w:rsidR="00D33AF9" w:rsidRPr="0026312A">
        <w:rPr>
          <w:rFonts w:ascii="Palatino Linotype" w:hAnsi="Palatino Linotype" w:cs="Arial"/>
          <w:sz w:val="24"/>
          <w:szCs w:val="24"/>
        </w:rPr>
        <w:t>voto</w:t>
      </w:r>
      <w:r w:rsidRPr="0026312A">
        <w:rPr>
          <w:rFonts w:ascii="Palatino Linotype" w:hAnsi="Palatino Linotype" w:cs="Arial"/>
          <w:sz w:val="24"/>
          <w:szCs w:val="24"/>
        </w:rPr>
        <w:t xml:space="preserve"> particular se deriva </w:t>
      </w:r>
      <w:r w:rsidR="007C168F" w:rsidRPr="0026312A">
        <w:rPr>
          <w:rFonts w:ascii="Palatino Linotype" w:hAnsi="Palatino Linotype" w:cs="Arial"/>
          <w:sz w:val="24"/>
          <w:szCs w:val="24"/>
        </w:rPr>
        <w:t>de</w:t>
      </w:r>
      <w:r w:rsidR="0026312A">
        <w:rPr>
          <w:rFonts w:ascii="Palatino Linotype" w:hAnsi="Palatino Linotype" w:cs="Arial"/>
          <w:sz w:val="24"/>
          <w:szCs w:val="24"/>
        </w:rPr>
        <w:t xml:space="preserve">l sentido que se le otorgó a la resolución, puesto que la ponencia </w:t>
      </w:r>
      <w:proofErr w:type="spellStart"/>
      <w:r w:rsidR="0026312A">
        <w:rPr>
          <w:rFonts w:ascii="Palatino Linotype" w:hAnsi="Palatino Linotype" w:cs="Arial"/>
          <w:sz w:val="24"/>
          <w:szCs w:val="24"/>
        </w:rPr>
        <w:t>resolutora</w:t>
      </w:r>
      <w:proofErr w:type="spellEnd"/>
      <w:r w:rsidR="0026312A">
        <w:rPr>
          <w:rFonts w:ascii="Palatino Linotype" w:hAnsi="Palatino Linotype" w:cs="Arial"/>
          <w:sz w:val="24"/>
          <w:szCs w:val="24"/>
        </w:rPr>
        <w:t xml:space="preserve"> determino que se CONFIRMA la respuesta del Sujeto Obligado, mientras que al respecto considero que lo idóneo debió ser un SOBRESEIMIENTO.</w:t>
      </w:r>
    </w:p>
    <w:p w:rsidR="0026312A" w:rsidRPr="0026312A" w:rsidRDefault="0026312A" w:rsidP="0026312A">
      <w:pPr>
        <w:pStyle w:val="Prrafodelista"/>
        <w:rPr>
          <w:rFonts w:ascii="Palatino Linotype" w:hAnsi="Palatino Linotype" w:cs="Arial"/>
          <w:sz w:val="24"/>
          <w:szCs w:val="24"/>
        </w:rPr>
      </w:pPr>
    </w:p>
    <w:p w:rsidR="0046491C" w:rsidRDefault="0046491C" w:rsidP="00701720">
      <w:pPr>
        <w:pStyle w:val="Prrafodelista"/>
        <w:numPr>
          <w:ilvl w:val="0"/>
          <w:numId w:val="1"/>
        </w:numPr>
        <w:spacing w:line="360" w:lineRule="auto"/>
        <w:jc w:val="both"/>
        <w:rPr>
          <w:rFonts w:ascii="Palatino Linotype" w:hAnsi="Palatino Linotype" w:cs="Arial"/>
          <w:sz w:val="24"/>
          <w:szCs w:val="24"/>
        </w:rPr>
      </w:pPr>
      <w:r w:rsidRPr="00701720">
        <w:rPr>
          <w:rFonts w:ascii="Palatino Linotype" w:hAnsi="Palatino Linotype" w:cs="Arial"/>
          <w:sz w:val="24"/>
          <w:szCs w:val="24"/>
        </w:rPr>
        <w:t xml:space="preserve">Por tal motivo y en términos de lo señalado por los artículos </w:t>
      </w:r>
      <w:r w:rsidR="00AA49F3" w:rsidRPr="00701720">
        <w:rPr>
          <w:rFonts w:ascii="Palatino Linotype" w:hAnsi="Palatino Linotype" w:cs="Arial"/>
          <w:sz w:val="24"/>
          <w:szCs w:val="24"/>
        </w:rPr>
        <w:t>14</w:t>
      </w:r>
      <w:r w:rsidRPr="00701720">
        <w:rPr>
          <w:rFonts w:ascii="Palatino Linotype" w:hAnsi="Palatino Linotype" w:cs="Arial"/>
          <w:sz w:val="24"/>
          <w:szCs w:val="24"/>
        </w:rPr>
        <w:t xml:space="preserve"> fracción </w:t>
      </w:r>
      <w:r w:rsidR="00AA49F3" w:rsidRPr="00701720">
        <w:rPr>
          <w:rFonts w:ascii="Palatino Linotype" w:hAnsi="Palatino Linotype" w:cs="Arial"/>
          <w:sz w:val="24"/>
          <w:szCs w:val="24"/>
        </w:rPr>
        <w:t>XI</w:t>
      </w:r>
      <w:r w:rsidRPr="00701720">
        <w:rPr>
          <w:rFonts w:ascii="Palatino Linotype" w:hAnsi="Palatino Linotype" w:cs="Arial"/>
          <w:sz w:val="24"/>
          <w:szCs w:val="24"/>
        </w:rPr>
        <w:t xml:space="preserve"> del Reglamento Interior del Instituto de Transparencia</w:t>
      </w:r>
      <w:bookmarkStart w:id="1" w:name="_GoBack"/>
      <w:bookmarkEnd w:id="1"/>
      <w:r w:rsidRPr="00701720">
        <w:rPr>
          <w:rFonts w:ascii="Palatino Linotype" w:hAnsi="Palatino Linotype" w:cs="Arial"/>
          <w:sz w:val="24"/>
          <w:szCs w:val="24"/>
        </w:rPr>
        <w:t xml:space="preserve"> y Acceso a la Información Pública del Estado de México y Municipios formulo el presente voto particular. </w:t>
      </w:r>
    </w:p>
    <w:p w:rsidR="00721927" w:rsidRPr="00721927" w:rsidRDefault="00721927" w:rsidP="00721927">
      <w:pPr>
        <w:pStyle w:val="Prrafodelista"/>
        <w:rPr>
          <w:rFonts w:ascii="Palatino Linotype" w:hAnsi="Palatino Linotype" w:cs="Arial"/>
          <w:sz w:val="24"/>
          <w:szCs w:val="24"/>
        </w:rPr>
      </w:pPr>
    </w:p>
    <w:p w:rsidR="0046491C" w:rsidRPr="00701720" w:rsidRDefault="0046491C" w:rsidP="00701720">
      <w:pPr>
        <w:pStyle w:val="Ttulo1"/>
        <w:numPr>
          <w:ilvl w:val="0"/>
          <w:numId w:val="12"/>
        </w:numPr>
        <w:spacing w:line="360" w:lineRule="auto"/>
        <w:rPr>
          <w:rFonts w:ascii="Palatino Linotype" w:hAnsi="Palatino Linotype"/>
          <w:b/>
          <w:color w:val="auto"/>
          <w:sz w:val="24"/>
          <w:szCs w:val="24"/>
        </w:rPr>
      </w:pPr>
      <w:bookmarkStart w:id="2" w:name="_Toc522548413"/>
      <w:r w:rsidRPr="00701720">
        <w:rPr>
          <w:rFonts w:ascii="Palatino Linotype" w:hAnsi="Palatino Linotype"/>
          <w:b/>
          <w:color w:val="auto"/>
          <w:sz w:val="24"/>
          <w:szCs w:val="24"/>
        </w:rPr>
        <w:t>De los requerimientos planteados en el recurso de revisión.</w:t>
      </w:r>
      <w:bookmarkEnd w:id="2"/>
    </w:p>
    <w:p w:rsidR="0046491C" w:rsidRPr="00701720" w:rsidRDefault="0046491C" w:rsidP="00701720">
      <w:pPr>
        <w:pStyle w:val="Prrafodelista"/>
        <w:spacing w:line="360" w:lineRule="auto"/>
        <w:ind w:left="1080"/>
        <w:jc w:val="both"/>
        <w:rPr>
          <w:rFonts w:ascii="Palatino Linotype" w:hAnsi="Palatino Linotype" w:cs="Arial"/>
          <w:sz w:val="24"/>
          <w:szCs w:val="24"/>
        </w:rPr>
      </w:pPr>
    </w:p>
    <w:p w:rsidR="0046491C" w:rsidRPr="00701720" w:rsidRDefault="0026312A" w:rsidP="00701720">
      <w:pPr>
        <w:pStyle w:val="Prrafodelista"/>
        <w:numPr>
          <w:ilvl w:val="0"/>
          <w:numId w:val="1"/>
        </w:numPr>
        <w:spacing w:after="0" w:line="360" w:lineRule="auto"/>
        <w:jc w:val="both"/>
        <w:rPr>
          <w:rFonts w:ascii="Palatino Linotype" w:eastAsia="Times New Roman" w:hAnsi="Palatino Linotype" w:cs="Arial"/>
          <w:sz w:val="24"/>
          <w:szCs w:val="24"/>
        </w:rPr>
      </w:pPr>
      <w:r>
        <w:rPr>
          <w:rFonts w:ascii="Palatino Linotype" w:hAnsi="Palatino Linotype" w:cs="Arial"/>
          <w:sz w:val="24"/>
          <w:szCs w:val="24"/>
        </w:rPr>
        <w:t xml:space="preserve">Se solicitó del Hospital Ángeles Lomas </w:t>
      </w:r>
      <w:r w:rsidR="0046491C" w:rsidRPr="00701720">
        <w:rPr>
          <w:rFonts w:ascii="Palatino Linotype" w:hAnsi="Palatino Linotype" w:cs="Arial"/>
          <w:sz w:val="24"/>
          <w:szCs w:val="24"/>
        </w:rPr>
        <w:t xml:space="preserve">la información siguiente: </w:t>
      </w:r>
    </w:p>
    <w:p w:rsidR="00E65413" w:rsidRPr="00701720" w:rsidRDefault="00E65413" w:rsidP="00701720">
      <w:pPr>
        <w:pStyle w:val="Prrafodelista"/>
        <w:spacing w:after="0" w:line="360" w:lineRule="auto"/>
        <w:ind w:left="360"/>
        <w:jc w:val="both"/>
        <w:rPr>
          <w:rFonts w:ascii="Palatino Linotype" w:eastAsia="Times New Roman" w:hAnsi="Palatino Linotype" w:cs="Arial"/>
          <w:sz w:val="24"/>
          <w:szCs w:val="24"/>
        </w:rPr>
      </w:pPr>
    </w:p>
    <w:p w:rsidR="0026312A" w:rsidRPr="00324AD1" w:rsidRDefault="0026312A" w:rsidP="0026312A">
      <w:pPr>
        <w:pStyle w:val="Prrafodelista"/>
        <w:numPr>
          <w:ilvl w:val="0"/>
          <w:numId w:val="14"/>
        </w:numPr>
        <w:spacing w:before="240" w:after="240" w:line="360" w:lineRule="auto"/>
        <w:ind w:left="567" w:right="51" w:firstLine="0"/>
        <w:contextualSpacing w:val="0"/>
        <w:jc w:val="both"/>
        <w:rPr>
          <w:rFonts w:ascii="Palatino Linotype" w:hAnsi="Palatino Linotype"/>
        </w:rPr>
      </w:pPr>
      <w:r>
        <w:rPr>
          <w:rFonts w:ascii="Palatino Linotype" w:hAnsi="Palatino Linotype"/>
        </w:rPr>
        <w:lastRenderedPageBreak/>
        <w:t>Estudio y dictamen de impacto ambiental</w:t>
      </w:r>
      <w:r>
        <w:rPr>
          <w:rFonts w:ascii="Palatino Linotype" w:hAnsi="Palatino Linotype"/>
          <w:color w:val="000000"/>
        </w:rPr>
        <w:t>.</w:t>
      </w:r>
    </w:p>
    <w:p w:rsidR="0026312A" w:rsidRPr="00324AD1" w:rsidRDefault="0026312A" w:rsidP="0026312A">
      <w:pPr>
        <w:pStyle w:val="Prrafodelista"/>
        <w:numPr>
          <w:ilvl w:val="0"/>
          <w:numId w:val="14"/>
        </w:numPr>
        <w:spacing w:before="240" w:after="240" w:line="360" w:lineRule="auto"/>
        <w:ind w:left="567" w:right="51" w:firstLine="0"/>
        <w:contextualSpacing w:val="0"/>
        <w:jc w:val="both"/>
        <w:rPr>
          <w:rFonts w:ascii="Palatino Linotype" w:hAnsi="Palatino Linotype"/>
        </w:rPr>
      </w:pPr>
      <w:r>
        <w:rPr>
          <w:rFonts w:ascii="Palatino Linotype" w:hAnsi="Palatino Linotype"/>
          <w:color w:val="000000"/>
        </w:rPr>
        <w:t>Estudio y dictamen de impacto regional.</w:t>
      </w:r>
    </w:p>
    <w:p w:rsidR="0026312A" w:rsidRPr="00324AD1" w:rsidRDefault="0026312A" w:rsidP="0026312A">
      <w:pPr>
        <w:pStyle w:val="Prrafodelista"/>
        <w:numPr>
          <w:ilvl w:val="0"/>
          <w:numId w:val="14"/>
        </w:numPr>
        <w:spacing w:before="240" w:after="240" w:line="360" w:lineRule="auto"/>
        <w:ind w:left="567" w:right="51" w:firstLine="0"/>
        <w:contextualSpacing w:val="0"/>
        <w:jc w:val="both"/>
        <w:rPr>
          <w:rFonts w:ascii="Palatino Linotype" w:hAnsi="Palatino Linotype"/>
        </w:rPr>
      </w:pPr>
      <w:r>
        <w:rPr>
          <w:rFonts w:ascii="Palatino Linotype" w:hAnsi="Palatino Linotype"/>
          <w:color w:val="000000"/>
        </w:rPr>
        <w:t>Estudio y dictamen de impacto vial.</w:t>
      </w:r>
    </w:p>
    <w:p w:rsidR="0026312A" w:rsidRPr="00324AD1" w:rsidRDefault="0026312A" w:rsidP="0026312A">
      <w:pPr>
        <w:pStyle w:val="Prrafodelista"/>
        <w:numPr>
          <w:ilvl w:val="0"/>
          <w:numId w:val="14"/>
        </w:numPr>
        <w:spacing w:before="240" w:after="240" w:line="360" w:lineRule="auto"/>
        <w:ind w:left="567" w:right="51" w:firstLine="0"/>
        <w:contextualSpacing w:val="0"/>
        <w:jc w:val="both"/>
        <w:rPr>
          <w:rFonts w:ascii="Palatino Linotype" w:hAnsi="Palatino Linotype"/>
        </w:rPr>
      </w:pPr>
      <w:r>
        <w:rPr>
          <w:rFonts w:ascii="Palatino Linotype" w:hAnsi="Palatino Linotype"/>
          <w:color w:val="000000"/>
        </w:rPr>
        <w:t>Estudio y dictamen de Protección Civil.</w:t>
      </w:r>
    </w:p>
    <w:p w:rsidR="0026312A" w:rsidRPr="00324AD1" w:rsidRDefault="0026312A" w:rsidP="0026312A">
      <w:pPr>
        <w:pStyle w:val="Prrafodelista"/>
        <w:numPr>
          <w:ilvl w:val="0"/>
          <w:numId w:val="14"/>
        </w:numPr>
        <w:spacing w:before="240" w:after="240" w:line="360" w:lineRule="auto"/>
        <w:ind w:left="567" w:right="51" w:firstLine="0"/>
        <w:contextualSpacing w:val="0"/>
        <w:jc w:val="both"/>
        <w:rPr>
          <w:rFonts w:ascii="Palatino Linotype" w:hAnsi="Palatino Linotype"/>
        </w:rPr>
      </w:pPr>
      <w:r>
        <w:rPr>
          <w:rFonts w:ascii="Palatino Linotype" w:hAnsi="Palatino Linotype"/>
          <w:color w:val="000000"/>
        </w:rPr>
        <w:t>Licencia de Funcionamiento.</w:t>
      </w:r>
    </w:p>
    <w:p w:rsidR="0026312A" w:rsidRPr="002D283C" w:rsidRDefault="0026312A" w:rsidP="0026312A">
      <w:pPr>
        <w:pStyle w:val="Prrafodelista"/>
        <w:numPr>
          <w:ilvl w:val="0"/>
          <w:numId w:val="14"/>
        </w:numPr>
        <w:spacing w:before="240" w:after="240" w:line="360" w:lineRule="auto"/>
        <w:ind w:left="567" w:right="51" w:firstLine="0"/>
        <w:contextualSpacing w:val="0"/>
        <w:jc w:val="both"/>
        <w:rPr>
          <w:rFonts w:ascii="Palatino Linotype" w:hAnsi="Palatino Linotype"/>
        </w:rPr>
      </w:pPr>
      <w:r>
        <w:rPr>
          <w:rFonts w:ascii="Palatino Linotype" w:hAnsi="Palatino Linotype"/>
          <w:color w:val="000000"/>
        </w:rPr>
        <w:t>Dictamen Único de Factibilidad.</w:t>
      </w:r>
    </w:p>
    <w:p w:rsidR="00102A1D" w:rsidRDefault="00EE6533" w:rsidP="00102A1D">
      <w:pPr>
        <w:pStyle w:val="Prrafodelista"/>
        <w:numPr>
          <w:ilvl w:val="0"/>
          <w:numId w:val="1"/>
        </w:numPr>
        <w:spacing w:before="240" w:after="240" w:line="360" w:lineRule="auto"/>
        <w:ind w:right="49"/>
        <w:jc w:val="both"/>
        <w:rPr>
          <w:rFonts w:ascii="Palatino Linotype" w:hAnsi="Palatino Linotype" w:cs="Arial"/>
          <w:sz w:val="24"/>
          <w:szCs w:val="24"/>
        </w:rPr>
      </w:pPr>
      <w:r w:rsidRPr="00701720">
        <w:rPr>
          <w:rFonts w:ascii="Palatino Linotype" w:hAnsi="Palatino Linotype" w:cs="Arial"/>
          <w:sz w:val="24"/>
          <w:szCs w:val="24"/>
        </w:rPr>
        <w:t xml:space="preserve">Para lo cual el </w:t>
      </w:r>
      <w:r w:rsidRPr="00701720">
        <w:rPr>
          <w:rFonts w:ascii="Palatino Linotype" w:hAnsi="Palatino Linotype" w:cs="Arial"/>
          <w:b/>
          <w:sz w:val="24"/>
          <w:szCs w:val="24"/>
        </w:rPr>
        <w:t>SUJETO OBLIGADO</w:t>
      </w:r>
      <w:r w:rsidRPr="00701720">
        <w:rPr>
          <w:rFonts w:ascii="Palatino Linotype" w:hAnsi="Palatino Linotype" w:cs="Arial"/>
          <w:sz w:val="24"/>
          <w:szCs w:val="24"/>
        </w:rPr>
        <w:t xml:space="preserve"> </w:t>
      </w:r>
      <w:r w:rsidR="0026312A">
        <w:rPr>
          <w:rFonts w:ascii="Palatino Linotype" w:hAnsi="Palatino Linotype" w:cs="Arial"/>
          <w:sz w:val="24"/>
          <w:szCs w:val="24"/>
        </w:rPr>
        <w:t>dio respuesta anexando los documentos que a continuación se describen:</w:t>
      </w:r>
    </w:p>
    <w:p w:rsidR="0026312A" w:rsidRDefault="0026312A" w:rsidP="0026312A">
      <w:pPr>
        <w:pStyle w:val="Prrafodelista"/>
        <w:spacing w:before="240" w:after="240" w:line="360" w:lineRule="auto"/>
        <w:ind w:left="360" w:right="49"/>
        <w:jc w:val="both"/>
        <w:rPr>
          <w:rFonts w:ascii="Palatino Linotype" w:hAnsi="Palatino Linotype" w:cs="Arial"/>
          <w:sz w:val="24"/>
          <w:szCs w:val="24"/>
        </w:rPr>
      </w:pPr>
    </w:p>
    <w:p w:rsidR="0026312A" w:rsidRPr="0073243C" w:rsidRDefault="0026312A" w:rsidP="0026312A">
      <w:pPr>
        <w:spacing w:before="240" w:after="240" w:line="360" w:lineRule="auto"/>
        <w:ind w:left="567" w:right="616"/>
        <w:jc w:val="both"/>
        <w:rPr>
          <w:rFonts w:ascii="Palatino Linotype" w:hAnsi="Palatino Linotype"/>
        </w:rPr>
      </w:pPr>
      <w:r w:rsidRPr="0026312A">
        <w:rPr>
          <w:rFonts w:ascii="Palatino Linotype" w:hAnsi="Palatino Linotype" w:cs="Arial"/>
          <w:b/>
          <w:i/>
        </w:rPr>
        <w:t>“</w:t>
      </w:r>
      <w:hyperlink r:id="rId8" w:tgtFrame="_blank" w:history="1">
        <w:r w:rsidRPr="0026312A">
          <w:rPr>
            <w:rStyle w:val="Hipervnculo"/>
            <w:rFonts w:ascii="Palatino Linotype" w:hAnsi="Palatino Linotype" w:cs="Arial"/>
            <w:b/>
            <w:bCs/>
            <w:i/>
            <w:color w:val="auto"/>
          </w:rPr>
          <w:t>SAIMEX00094.pdf</w:t>
        </w:r>
      </w:hyperlink>
      <w:r w:rsidRPr="0026312A">
        <w:rPr>
          <w:rFonts w:ascii="Palatino Linotype" w:hAnsi="Palatino Linotype"/>
          <w:b/>
          <w:i/>
        </w:rPr>
        <w:t>”:</w:t>
      </w:r>
      <w:r w:rsidRPr="0026312A">
        <w:rPr>
          <w:rFonts w:ascii="Palatino Linotype" w:hAnsi="Palatino Linotype"/>
          <w:i/>
        </w:rPr>
        <w:t xml:space="preserve"> </w:t>
      </w:r>
      <w:r>
        <w:rPr>
          <w:rFonts w:ascii="Palatino Linotype" w:hAnsi="Palatino Linotype"/>
        </w:rPr>
        <w:t>Consistente en el oficio 224020000/1529/2018, firmado por la Directora General de Operación Urbana, en el que medularmente precisa que de la búsqueda efectuada por la Subdirección de Dictámenes Urbanos, dependiente de esa Dirección, no se localizó registro alguno del predio al que se hace mención.</w:t>
      </w:r>
    </w:p>
    <w:p w:rsidR="0026312A" w:rsidRDefault="0026312A" w:rsidP="0026312A">
      <w:pPr>
        <w:spacing w:before="240" w:after="240" w:line="360" w:lineRule="auto"/>
        <w:ind w:left="567" w:right="616"/>
        <w:jc w:val="both"/>
        <w:rPr>
          <w:rFonts w:ascii="Palatino Linotype" w:hAnsi="Palatino Linotype"/>
        </w:rPr>
      </w:pPr>
      <w:r w:rsidRPr="0026312A">
        <w:rPr>
          <w:rFonts w:ascii="Palatino Linotype" w:hAnsi="Palatino Linotype"/>
          <w:b/>
          <w:i/>
        </w:rPr>
        <w:t>“</w:t>
      </w:r>
      <w:hyperlink r:id="rId9" w:tgtFrame="_blank" w:history="1">
        <w:r w:rsidRPr="0026312A">
          <w:rPr>
            <w:rStyle w:val="Hipervnculo"/>
            <w:rFonts w:ascii="Palatino Linotype" w:hAnsi="Palatino Linotype" w:cs="Arial"/>
            <w:b/>
            <w:bCs/>
            <w:i/>
            <w:color w:val="auto"/>
          </w:rPr>
          <w:t>RESPUESTA_00094_IP_2018 SEDUM.pdf</w:t>
        </w:r>
      </w:hyperlink>
      <w:r w:rsidRPr="0026312A">
        <w:rPr>
          <w:rFonts w:ascii="Palatino Linotype" w:hAnsi="Palatino Linotype"/>
          <w:b/>
          <w:i/>
        </w:rPr>
        <w:t>”:</w:t>
      </w:r>
      <w:r w:rsidRPr="0026312A">
        <w:rPr>
          <w:rFonts w:ascii="Palatino Linotype" w:hAnsi="Palatino Linotype"/>
          <w:i/>
        </w:rPr>
        <w:t xml:space="preserve"> </w:t>
      </w:r>
      <w:r>
        <w:rPr>
          <w:rFonts w:ascii="Palatino Linotype" w:hAnsi="Palatino Linotype"/>
        </w:rPr>
        <w:t>Relativo al oficio 224006000/312/2018, emitido por el responsable de la Unidad de Transparencia, por medio del cual hace de conocimiento del solicitante la respuesta dada por parte de la Directora General de Operación Urbana.</w:t>
      </w:r>
    </w:p>
    <w:p w:rsidR="0026312A" w:rsidRDefault="0026312A" w:rsidP="0026312A">
      <w:pPr>
        <w:pStyle w:val="Prrafodelista"/>
        <w:spacing w:before="240" w:after="240" w:line="360" w:lineRule="auto"/>
        <w:ind w:left="360" w:right="49"/>
        <w:jc w:val="both"/>
        <w:rPr>
          <w:rFonts w:ascii="Palatino Linotype" w:hAnsi="Palatino Linotype" w:cs="Arial"/>
          <w:sz w:val="24"/>
          <w:szCs w:val="24"/>
        </w:rPr>
      </w:pPr>
    </w:p>
    <w:p w:rsidR="0026312A" w:rsidRDefault="0026312A" w:rsidP="0026312A">
      <w:pPr>
        <w:pStyle w:val="Prrafodelista"/>
        <w:numPr>
          <w:ilvl w:val="0"/>
          <w:numId w:val="1"/>
        </w:num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El particular se inconformó refiriendo que solo se limitó la búsqueda en una sola unidad administrativa, además de que es información sin la cual no se puede llevar a cabo una construcción y operación del Hospital de referencia.</w:t>
      </w:r>
    </w:p>
    <w:p w:rsidR="00102A1D" w:rsidRDefault="0026312A" w:rsidP="0026312A">
      <w:pPr>
        <w:pStyle w:val="Prrafodelista"/>
        <w:spacing w:before="240" w:after="240" w:line="360" w:lineRule="auto"/>
        <w:ind w:left="360" w:right="49"/>
        <w:jc w:val="both"/>
        <w:rPr>
          <w:rFonts w:ascii="Palatino Linotype" w:hAnsi="Palatino Linotype" w:cs="Arial"/>
          <w:sz w:val="24"/>
          <w:szCs w:val="24"/>
        </w:rPr>
      </w:pPr>
      <w:r>
        <w:rPr>
          <w:rFonts w:ascii="Palatino Linotype" w:hAnsi="Palatino Linotype" w:cs="Arial"/>
          <w:sz w:val="24"/>
          <w:szCs w:val="24"/>
        </w:rPr>
        <w:t xml:space="preserve"> </w:t>
      </w:r>
    </w:p>
    <w:p w:rsidR="0026312A" w:rsidRPr="0026312A" w:rsidRDefault="00102A1D" w:rsidP="0026312A">
      <w:pPr>
        <w:pStyle w:val="Ttulo1"/>
        <w:numPr>
          <w:ilvl w:val="0"/>
          <w:numId w:val="12"/>
        </w:numPr>
        <w:rPr>
          <w:rFonts w:ascii="Palatino Linotype" w:hAnsi="Palatino Linotype"/>
          <w:b/>
          <w:color w:val="auto"/>
          <w:sz w:val="24"/>
        </w:rPr>
      </w:pPr>
      <w:bookmarkStart w:id="3" w:name="_Toc522548414"/>
      <w:r w:rsidRPr="00102A1D">
        <w:rPr>
          <w:rFonts w:ascii="Palatino Linotype" w:hAnsi="Palatino Linotype"/>
          <w:b/>
          <w:color w:val="auto"/>
          <w:sz w:val="24"/>
        </w:rPr>
        <w:t>Del</w:t>
      </w:r>
      <w:r w:rsidR="0026312A">
        <w:rPr>
          <w:rFonts w:ascii="Palatino Linotype" w:hAnsi="Palatino Linotype"/>
          <w:b/>
          <w:color w:val="auto"/>
          <w:sz w:val="24"/>
        </w:rPr>
        <w:t xml:space="preserve"> sentido de la resolución.</w:t>
      </w:r>
      <w:bookmarkEnd w:id="3"/>
    </w:p>
    <w:p w:rsidR="00163EA9" w:rsidRPr="00701720" w:rsidRDefault="00163EA9" w:rsidP="00701720">
      <w:pPr>
        <w:pStyle w:val="Prrafodelista"/>
        <w:spacing w:before="240" w:after="240" w:line="360" w:lineRule="auto"/>
        <w:ind w:left="360" w:right="900"/>
        <w:jc w:val="both"/>
        <w:rPr>
          <w:rFonts w:ascii="Palatino Linotype" w:hAnsi="Palatino Linotype" w:cs="Arial"/>
          <w:sz w:val="24"/>
          <w:szCs w:val="24"/>
        </w:rPr>
      </w:pPr>
    </w:p>
    <w:p w:rsidR="0026312A" w:rsidRPr="0026312A" w:rsidRDefault="0026312A" w:rsidP="0026312A">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L</w:t>
      </w:r>
      <w:r w:rsidRPr="0026312A">
        <w:rPr>
          <w:rFonts w:ascii="Palatino Linotype" w:hAnsi="Palatino Linotype" w:cs="Arial"/>
          <w:sz w:val="24"/>
          <w:szCs w:val="24"/>
        </w:rPr>
        <w:t xml:space="preserve">a Ley de Transparencia y Acceso a la Información Pública del Estado de México y Municipios </w:t>
      </w:r>
      <w:r>
        <w:rPr>
          <w:rFonts w:ascii="Palatino Linotype" w:hAnsi="Palatino Linotype" w:cs="Arial"/>
          <w:sz w:val="24"/>
          <w:szCs w:val="24"/>
        </w:rPr>
        <w:t xml:space="preserve">en el artículo 186 </w:t>
      </w:r>
      <w:r w:rsidRPr="0026312A">
        <w:rPr>
          <w:rFonts w:ascii="Palatino Linotype" w:hAnsi="Palatino Linotype" w:cs="Arial"/>
          <w:sz w:val="24"/>
          <w:szCs w:val="24"/>
        </w:rPr>
        <w:t>establece lo siguiente:</w:t>
      </w:r>
    </w:p>
    <w:p w:rsidR="0026312A" w:rsidRPr="00973B1C" w:rsidRDefault="0026312A" w:rsidP="00995F32">
      <w:pPr>
        <w:autoSpaceDE w:val="0"/>
        <w:autoSpaceDN w:val="0"/>
        <w:adjustRightInd w:val="0"/>
        <w:spacing w:after="0" w:line="360" w:lineRule="auto"/>
        <w:ind w:left="567" w:right="616"/>
        <w:jc w:val="both"/>
        <w:rPr>
          <w:rFonts w:ascii="Palatino Linotype" w:hAnsi="Palatino Linotype" w:cs="Bookman Old Style"/>
          <w:i/>
          <w:szCs w:val="20"/>
        </w:rPr>
      </w:pPr>
      <w:r w:rsidRPr="00973B1C">
        <w:rPr>
          <w:rFonts w:ascii="Palatino Linotype" w:hAnsi="Palatino Linotype" w:cs="Bookman Old Style,Bold"/>
          <w:b/>
          <w:bCs/>
          <w:i/>
          <w:szCs w:val="20"/>
        </w:rPr>
        <w:t xml:space="preserve">Artículo 186. </w:t>
      </w:r>
      <w:r w:rsidRPr="00973B1C">
        <w:rPr>
          <w:rFonts w:ascii="Palatino Linotype" w:hAnsi="Palatino Linotype" w:cs="Bookman Old Style"/>
          <w:i/>
          <w:szCs w:val="20"/>
        </w:rPr>
        <w:t>Las resoluciones del Instituto podrán:</w:t>
      </w:r>
    </w:p>
    <w:p w:rsidR="0026312A" w:rsidRPr="00973B1C" w:rsidRDefault="0026312A" w:rsidP="00995F32">
      <w:pPr>
        <w:autoSpaceDE w:val="0"/>
        <w:autoSpaceDN w:val="0"/>
        <w:adjustRightInd w:val="0"/>
        <w:spacing w:after="0" w:line="360" w:lineRule="auto"/>
        <w:ind w:left="567" w:right="616"/>
        <w:jc w:val="both"/>
        <w:rPr>
          <w:rFonts w:ascii="Palatino Linotype" w:hAnsi="Palatino Linotype" w:cs="Bookman Old Style"/>
          <w:i/>
          <w:szCs w:val="20"/>
        </w:rPr>
      </w:pPr>
      <w:r w:rsidRPr="00973B1C">
        <w:rPr>
          <w:rFonts w:ascii="Palatino Linotype" w:hAnsi="Palatino Linotype" w:cs="Bookman Old Style,Bold"/>
          <w:b/>
          <w:bCs/>
          <w:i/>
          <w:szCs w:val="20"/>
        </w:rPr>
        <w:t xml:space="preserve">I. </w:t>
      </w:r>
      <w:r w:rsidRPr="00973B1C">
        <w:rPr>
          <w:rFonts w:ascii="Palatino Linotype" w:hAnsi="Palatino Linotype" w:cs="Bookman Old Style"/>
          <w:i/>
          <w:szCs w:val="20"/>
        </w:rPr>
        <w:t>Desechar o sobreseer el recurso;</w:t>
      </w:r>
    </w:p>
    <w:p w:rsidR="0026312A" w:rsidRPr="00973B1C" w:rsidRDefault="0026312A" w:rsidP="00995F32">
      <w:pPr>
        <w:autoSpaceDE w:val="0"/>
        <w:autoSpaceDN w:val="0"/>
        <w:adjustRightInd w:val="0"/>
        <w:spacing w:after="0" w:line="360" w:lineRule="auto"/>
        <w:ind w:left="567" w:right="616"/>
        <w:jc w:val="both"/>
        <w:rPr>
          <w:rFonts w:ascii="Palatino Linotype" w:hAnsi="Palatino Linotype" w:cs="Bookman Old Style"/>
          <w:i/>
          <w:szCs w:val="20"/>
        </w:rPr>
      </w:pPr>
      <w:r w:rsidRPr="00973B1C">
        <w:rPr>
          <w:rFonts w:ascii="Palatino Linotype" w:hAnsi="Palatino Linotype" w:cs="Bookman Old Style,Bold"/>
          <w:b/>
          <w:bCs/>
          <w:i/>
          <w:szCs w:val="20"/>
        </w:rPr>
        <w:t xml:space="preserve">II. </w:t>
      </w:r>
      <w:r w:rsidRPr="00973B1C">
        <w:rPr>
          <w:rFonts w:ascii="Palatino Linotype" w:hAnsi="Palatino Linotype" w:cs="Bookman Old Style"/>
          <w:i/>
          <w:szCs w:val="20"/>
        </w:rPr>
        <w:t>Confirmar la respuesta del sujeto obligado;</w:t>
      </w:r>
    </w:p>
    <w:p w:rsidR="0026312A" w:rsidRPr="00973B1C" w:rsidRDefault="0026312A" w:rsidP="00995F32">
      <w:pPr>
        <w:autoSpaceDE w:val="0"/>
        <w:autoSpaceDN w:val="0"/>
        <w:adjustRightInd w:val="0"/>
        <w:spacing w:after="0" w:line="360" w:lineRule="auto"/>
        <w:ind w:left="567" w:right="616"/>
        <w:jc w:val="both"/>
        <w:rPr>
          <w:rFonts w:ascii="Palatino Linotype" w:hAnsi="Palatino Linotype" w:cs="Bookman Old Style"/>
          <w:i/>
          <w:szCs w:val="20"/>
        </w:rPr>
      </w:pPr>
      <w:r w:rsidRPr="00973B1C">
        <w:rPr>
          <w:rFonts w:ascii="Palatino Linotype" w:hAnsi="Palatino Linotype" w:cs="Bookman Old Style,Bold"/>
          <w:b/>
          <w:bCs/>
          <w:i/>
          <w:szCs w:val="20"/>
        </w:rPr>
        <w:t xml:space="preserve">III. </w:t>
      </w:r>
      <w:r w:rsidRPr="00973B1C">
        <w:rPr>
          <w:rFonts w:ascii="Palatino Linotype" w:hAnsi="Palatino Linotype" w:cs="Bookman Old Style"/>
          <w:i/>
          <w:szCs w:val="20"/>
        </w:rPr>
        <w:t>Revocar o modificar la respuesta del sujeto obligado; y</w:t>
      </w:r>
    </w:p>
    <w:p w:rsidR="0026312A" w:rsidRPr="00973B1C" w:rsidRDefault="0026312A" w:rsidP="00995F32">
      <w:pPr>
        <w:pStyle w:val="Prrafodelista"/>
        <w:spacing w:after="0" w:line="360" w:lineRule="auto"/>
        <w:ind w:left="567" w:right="616"/>
        <w:jc w:val="both"/>
        <w:rPr>
          <w:rFonts w:ascii="Palatino Linotype" w:hAnsi="Palatino Linotype" w:cs="Arial"/>
          <w:i/>
          <w:sz w:val="28"/>
          <w:szCs w:val="24"/>
        </w:rPr>
      </w:pPr>
      <w:r w:rsidRPr="00973B1C">
        <w:rPr>
          <w:rFonts w:ascii="Palatino Linotype" w:hAnsi="Palatino Linotype" w:cs="Bookman Old Style,Bold"/>
          <w:b/>
          <w:bCs/>
          <w:i/>
          <w:szCs w:val="20"/>
        </w:rPr>
        <w:t xml:space="preserve">IV. </w:t>
      </w:r>
      <w:r w:rsidRPr="00973B1C">
        <w:rPr>
          <w:rFonts w:ascii="Palatino Linotype" w:hAnsi="Palatino Linotype" w:cs="Bookman Old Style"/>
          <w:i/>
          <w:szCs w:val="20"/>
        </w:rPr>
        <w:t>Ordenar la entrega de la información.</w:t>
      </w:r>
    </w:p>
    <w:p w:rsidR="0026312A" w:rsidRDefault="0026312A" w:rsidP="0026312A">
      <w:pPr>
        <w:pStyle w:val="Prrafodelista"/>
        <w:tabs>
          <w:tab w:val="left" w:pos="7655"/>
        </w:tabs>
        <w:spacing w:before="240" w:after="240" w:line="360" w:lineRule="auto"/>
        <w:ind w:left="360" w:right="49"/>
        <w:jc w:val="both"/>
        <w:rPr>
          <w:rFonts w:ascii="Palatino Linotype" w:hAnsi="Palatino Linotype" w:cs="Arial"/>
          <w:sz w:val="24"/>
          <w:szCs w:val="24"/>
        </w:rPr>
      </w:pPr>
    </w:p>
    <w:p w:rsidR="0026312A" w:rsidRDefault="00597BF9" w:rsidP="00102A1D">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Este Instituto está facultado para emitir resoluciones conforme al inciso que actualice cada caso en particular. Para tal efecto es necesario verificar cada una de las constancias que obran en el expediente electrónico, tanto las que aporta el particular como las que aporta el Sujeto Obligado en respuesta y en la etapa de manifestaciones.</w:t>
      </w:r>
    </w:p>
    <w:p w:rsidR="0026312A" w:rsidRDefault="0026312A" w:rsidP="00597BF9">
      <w:pPr>
        <w:pStyle w:val="Prrafodelista"/>
        <w:tabs>
          <w:tab w:val="left" w:pos="7655"/>
        </w:tabs>
        <w:spacing w:before="240" w:after="240" w:line="360" w:lineRule="auto"/>
        <w:ind w:left="360" w:right="49"/>
        <w:jc w:val="both"/>
        <w:rPr>
          <w:rFonts w:ascii="Palatino Linotype" w:hAnsi="Palatino Linotype" w:cs="Arial"/>
          <w:sz w:val="24"/>
          <w:szCs w:val="24"/>
        </w:rPr>
      </w:pPr>
    </w:p>
    <w:p w:rsidR="00597BF9" w:rsidRDefault="00597BF9" w:rsidP="00102A1D">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 xml:space="preserve">En el caso que se resuelve,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consideró que el sentido de la resolución actualiza la fracción II del precepto legal citado, es decir, confirmar la </w:t>
      </w:r>
      <w:r>
        <w:rPr>
          <w:rFonts w:ascii="Palatino Linotype" w:hAnsi="Palatino Linotype" w:cs="Arial"/>
          <w:sz w:val="24"/>
          <w:szCs w:val="24"/>
        </w:rPr>
        <w:lastRenderedPageBreak/>
        <w:t>respuesta, en razón de que a través de ésta se colma con los requerimientos del particular.</w:t>
      </w:r>
    </w:p>
    <w:p w:rsidR="00597BF9" w:rsidRPr="00597BF9" w:rsidRDefault="00597BF9" w:rsidP="00597BF9">
      <w:pPr>
        <w:pStyle w:val="Prrafodelista"/>
        <w:rPr>
          <w:rFonts w:ascii="Palatino Linotype" w:hAnsi="Palatino Linotype" w:cs="Arial"/>
          <w:sz w:val="24"/>
          <w:szCs w:val="24"/>
        </w:rPr>
      </w:pPr>
    </w:p>
    <w:p w:rsidR="00597BF9" w:rsidRPr="00597BF9" w:rsidRDefault="00597BF9" w:rsidP="00597BF9">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 xml:space="preserve">Sin embargo, cabe señalar que el Sujeto Obligado en respuesta se limita a referir a través de </w:t>
      </w:r>
      <w:r w:rsidRPr="00597BF9">
        <w:rPr>
          <w:rFonts w:ascii="Palatino Linotype" w:hAnsi="Palatino Linotype"/>
        </w:rPr>
        <w:t>la Directora General de Operación Urbana, que derivado de la búsqueda en los archivos de la Subdirección de Dictámenes Urbanos, dependiente de ella, no se localizó registro alguno del predio mencionado por el particular.</w:t>
      </w:r>
    </w:p>
    <w:p w:rsidR="00597BF9" w:rsidRPr="00597BF9" w:rsidRDefault="00597BF9" w:rsidP="00597BF9">
      <w:pPr>
        <w:pStyle w:val="Prrafodelista"/>
        <w:rPr>
          <w:rFonts w:ascii="Palatino Linotype" w:hAnsi="Palatino Linotype" w:cs="Arial"/>
          <w:sz w:val="24"/>
          <w:szCs w:val="24"/>
        </w:rPr>
      </w:pPr>
    </w:p>
    <w:p w:rsidR="00597BF9" w:rsidRDefault="00597BF9" w:rsidP="00597BF9">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el particular se inconformó refiriendo que no se buscó en todas las áreas administrativas. </w:t>
      </w:r>
    </w:p>
    <w:p w:rsidR="00A170A7" w:rsidRPr="00A170A7" w:rsidRDefault="00A170A7" w:rsidP="00A170A7">
      <w:pPr>
        <w:pStyle w:val="Prrafodelista"/>
        <w:rPr>
          <w:rFonts w:ascii="Palatino Linotype" w:hAnsi="Palatino Linotype" w:cs="Arial"/>
          <w:sz w:val="24"/>
          <w:szCs w:val="24"/>
        </w:rPr>
      </w:pPr>
    </w:p>
    <w:p w:rsidR="00A170A7" w:rsidRPr="00995F32" w:rsidRDefault="00597BF9" w:rsidP="00A170A7">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sidRPr="00A170A7">
        <w:rPr>
          <w:rFonts w:ascii="Palatino Linotype" w:hAnsi="Palatino Linotype" w:cs="Arial"/>
          <w:sz w:val="24"/>
          <w:szCs w:val="24"/>
        </w:rPr>
        <w:t>Como mencion</w:t>
      </w:r>
      <w:r w:rsidR="00A170A7">
        <w:rPr>
          <w:rFonts w:ascii="Palatino Linotype" w:hAnsi="Palatino Linotype" w:cs="Arial"/>
          <w:sz w:val="24"/>
          <w:szCs w:val="24"/>
        </w:rPr>
        <w:t>é</w:t>
      </w:r>
      <w:r w:rsidRPr="00A170A7">
        <w:rPr>
          <w:rFonts w:ascii="Palatino Linotype" w:hAnsi="Palatino Linotype" w:cs="Arial"/>
          <w:sz w:val="24"/>
          <w:szCs w:val="24"/>
        </w:rPr>
        <w:t xml:space="preserve"> anteriormente, se debe dar la debida atención a cada una de las actuaciones que rigen al procedimiento, toda vez que el Sujeto Obligado al rendir el correspondiente informe justificado manifestó que </w:t>
      </w:r>
      <w:r w:rsidR="00A170A7" w:rsidRPr="00A170A7">
        <w:rPr>
          <w:rFonts w:ascii="Palatino Linotype" w:hAnsi="Palatino Linotype"/>
        </w:rPr>
        <w:t xml:space="preserve">de acuerdo con el Código para la Biodiversidad del Estado de México, se define a la </w:t>
      </w:r>
      <w:r w:rsidR="00A170A7" w:rsidRPr="00A170A7">
        <w:rPr>
          <w:rFonts w:ascii="Palatino Linotype" w:hAnsi="Palatino Linotype"/>
          <w:i/>
        </w:rPr>
        <w:t>evaluación de impacto ambiental</w:t>
      </w:r>
      <w:r w:rsidR="00A170A7" w:rsidRPr="00A170A7">
        <w:rPr>
          <w:rFonts w:ascii="Palatino Linotype" w:hAnsi="Palatino Linotype"/>
        </w:rPr>
        <w:t xml:space="preserve"> como el procedimiento científico y técnico a través del cual al seno de la Comisión Estatal de Factibilidad, las autoridades estatales y los organismos calificados identifican y predicen cuáles efectos ejercerán sobre el medio ambiente una acción o proyecto específico y autorizan la procedencia ambiental de dichos proyectos y las condiciones a las que se sujetarán los mismos para la realización de las obras, actividades o aprovechamientos con el fin de evitar o reducir al mínimo sus defectos negativos en el equilibrio ecológico o en el medio ambiente o a la biodiversidad.</w:t>
      </w:r>
    </w:p>
    <w:p w:rsidR="00995F32" w:rsidRPr="00995F32" w:rsidRDefault="00995F32" w:rsidP="00995F32">
      <w:pPr>
        <w:pStyle w:val="Prrafodelista"/>
        <w:rPr>
          <w:rFonts w:ascii="Palatino Linotype" w:hAnsi="Palatino Linotype" w:cs="Arial"/>
          <w:sz w:val="24"/>
          <w:szCs w:val="24"/>
        </w:rPr>
      </w:pPr>
    </w:p>
    <w:p w:rsidR="00995F32" w:rsidRPr="00A170A7" w:rsidRDefault="00995F32" w:rsidP="00995F32">
      <w:pPr>
        <w:pStyle w:val="Prrafodelista"/>
        <w:tabs>
          <w:tab w:val="left" w:pos="7655"/>
        </w:tabs>
        <w:spacing w:before="240" w:after="240" w:line="360" w:lineRule="auto"/>
        <w:ind w:left="360" w:right="49"/>
        <w:jc w:val="both"/>
        <w:rPr>
          <w:rFonts w:ascii="Palatino Linotype" w:hAnsi="Palatino Linotype" w:cs="Arial"/>
          <w:sz w:val="24"/>
          <w:szCs w:val="24"/>
        </w:rPr>
      </w:pPr>
    </w:p>
    <w:p w:rsidR="00A170A7" w:rsidRPr="00A170A7" w:rsidRDefault="00A170A7" w:rsidP="00A170A7">
      <w:pPr>
        <w:pStyle w:val="Prrafodelista"/>
        <w:rPr>
          <w:rFonts w:ascii="Palatino Linotype" w:hAnsi="Palatino Linotype" w:cs="Arial"/>
          <w:sz w:val="24"/>
          <w:szCs w:val="24"/>
        </w:rPr>
      </w:pPr>
    </w:p>
    <w:p w:rsidR="00597BF9" w:rsidRDefault="00A170A7" w:rsidP="00597BF9">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Asimismo, refiere que el trámite de Dictamen Único de Factibilidad invariablemente es del conocimiento de esta Unidad Administrativa, puntualizando que la documentación solicitada en caso de existir trámite al respecto de la obtención del Dictamen Único de Factibilidad en el predio de referencia, necesariamente tiene que estar en los archivos o en la base de datos de esta Dependencia.</w:t>
      </w:r>
    </w:p>
    <w:p w:rsidR="00995F32" w:rsidRDefault="00995F32" w:rsidP="00995F32">
      <w:pPr>
        <w:pStyle w:val="Prrafodelista"/>
        <w:tabs>
          <w:tab w:val="left" w:pos="7655"/>
        </w:tabs>
        <w:spacing w:before="240" w:after="240" w:line="360" w:lineRule="auto"/>
        <w:ind w:left="360" w:right="49"/>
        <w:jc w:val="both"/>
        <w:rPr>
          <w:rFonts w:ascii="Palatino Linotype" w:hAnsi="Palatino Linotype" w:cs="Arial"/>
          <w:sz w:val="24"/>
          <w:szCs w:val="24"/>
        </w:rPr>
      </w:pPr>
    </w:p>
    <w:p w:rsidR="00A170A7" w:rsidRPr="00A170A7" w:rsidRDefault="00A170A7" w:rsidP="00A170A7">
      <w:pPr>
        <w:pStyle w:val="Prrafodelista"/>
        <w:rPr>
          <w:rFonts w:ascii="Palatino Linotype" w:hAnsi="Palatino Linotype" w:cs="Arial"/>
          <w:sz w:val="24"/>
          <w:szCs w:val="24"/>
        </w:rPr>
      </w:pPr>
    </w:p>
    <w:p w:rsidR="00A170A7" w:rsidRDefault="00A170A7" w:rsidP="00597BF9">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De igual forma, no se tiene conocimiento respecto de procedimiento alguno iniciado en contra de la negociación a la que hace referencia.</w:t>
      </w:r>
    </w:p>
    <w:p w:rsidR="00A170A7" w:rsidRPr="00A170A7" w:rsidRDefault="00A170A7" w:rsidP="00A170A7">
      <w:pPr>
        <w:pStyle w:val="Prrafodelista"/>
        <w:rPr>
          <w:rFonts w:ascii="Palatino Linotype" w:hAnsi="Palatino Linotype" w:cs="Arial"/>
          <w:sz w:val="24"/>
          <w:szCs w:val="24"/>
        </w:rPr>
      </w:pPr>
    </w:p>
    <w:p w:rsidR="00A170A7" w:rsidRDefault="00A170A7" w:rsidP="00597BF9">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Por último se hace hincapié de que si no hay trámite del Dictamen Único de Factibilidad, no hay documentos, no con la denominación que señala, ni con cualquier otra denominación; de lo contrario se haría entrega al solicitante.</w:t>
      </w:r>
    </w:p>
    <w:p w:rsidR="00A170A7" w:rsidRPr="00A170A7" w:rsidRDefault="00A170A7" w:rsidP="00A170A7">
      <w:pPr>
        <w:pStyle w:val="Prrafodelista"/>
        <w:rPr>
          <w:rFonts w:ascii="Palatino Linotype" w:hAnsi="Palatino Linotype" w:cs="Arial"/>
          <w:sz w:val="24"/>
          <w:szCs w:val="24"/>
        </w:rPr>
      </w:pPr>
    </w:p>
    <w:p w:rsidR="00597BF9" w:rsidRDefault="00A170A7" w:rsidP="00102A1D">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ese contexto se aprecia que si bien es cierto el Sujeto Obligado da respuesta a la solicitud, también es cierto que ésta no es suficiente en razón de que no brinda certeza al particular.</w:t>
      </w:r>
    </w:p>
    <w:p w:rsidR="00A170A7" w:rsidRPr="00A170A7" w:rsidRDefault="00A170A7" w:rsidP="00A170A7">
      <w:pPr>
        <w:pStyle w:val="Prrafodelista"/>
        <w:rPr>
          <w:rFonts w:ascii="Palatino Linotype" w:hAnsi="Palatino Linotype" w:cs="Arial"/>
          <w:sz w:val="24"/>
          <w:szCs w:val="24"/>
        </w:rPr>
      </w:pPr>
    </w:p>
    <w:p w:rsidR="00A170A7" w:rsidRDefault="00A170A7" w:rsidP="00102A1D">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No obstante, es hasta el periodo de manifestaciones que el Sujeto Obligado a través del correspondiente informe justificado hace las aclaraciones pertinentes del porque no cuenta con la información, asimismo combate los motivos y razones de inconformidad hechos valer por el recurrente.</w:t>
      </w:r>
    </w:p>
    <w:p w:rsidR="00597BF9" w:rsidRPr="00597BF9" w:rsidRDefault="00597BF9" w:rsidP="00597BF9">
      <w:pPr>
        <w:pStyle w:val="Prrafodelista"/>
        <w:rPr>
          <w:rFonts w:ascii="Palatino Linotype" w:hAnsi="Palatino Linotype" w:cs="Arial"/>
          <w:sz w:val="24"/>
          <w:szCs w:val="24"/>
        </w:rPr>
      </w:pPr>
    </w:p>
    <w:p w:rsidR="00A170A7" w:rsidRPr="00995F32" w:rsidRDefault="00A170A7" w:rsidP="00995F32">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sidRPr="00995F32">
        <w:rPr>
          <w:rFonts w:ascii="Palatino Linotype" w:hAnsi="Palatino Linotype" w:cs="Arial"/>
        </w:rPr>
        <w:t>En vista de lo anterior, se actualiza el supuesto previsto en artículo 192 fracción III de la Ley de Transparencia y Acceso a la Información Pública del Estado de México y Municipios el cual refiere lo siguiente:</w:t>
      </w:r>
    </w:p>
    <w:p w:rsidR="00A170A7" w:rsidRPr="00CD0CB8" w:rsidRDefault="00A170A7" w:rsidP="00A170A7">
      <w:pPr>
        <w:pStyle w:val="Prrafodelista"/>
        <w:spacing w:line="360" w:lineRule="auto"/>
        <w:ind w:left="0"/>
        <w:jc w:val="both"/>
        <w:rPr>
          <w:rFonts w:ascii="Palatino Linotype" w:hAnsi="Palatino Linotype" w:cs="Arial"/>
        </w:rPr>
      </w:pPr>
    </w:p>
    <w:p w:rsidR="00A170A7" w:rsidRPr="00CD0CB8" w:rsidRDefault="00A170A7" w:rsidP="00A170A7">
      <w:pPr>
        <w:pStyle w:val="Prrafodelista"/>
        <w:autoSpaceDE w:val="0"/>
        <w:autoSpaceDN w:val="0"/>
        <w:adjustRightInd w:val="0"/>
        <w:spacing w:line="360" w:lineRule="auto"/>
        <w:ind w:left="567" w:right="567"/>
        <w:jc w:val="both"/>
        <w:rPr>
          <w:rFonts w:ascii="Palatino Linotype" w:hAnsi="Palatino Linotype" w:cs="Bookman Old Style"/>
          <w:i/>
          <w:lang w:val="es-ES"/>
        </w:rPr>
      </w:pPr>
      <w:r w:rsidRPr="00CD0CB8">
        <w:rPr>
          <w:rFonts w:ascii="Palatino Linotype" w:hAnsi="Palatino Linotype" w:cs="Bookman Old Style,Bold"/>
          <w:b/>
          <w:bCs/>
          <w:i/>
          <w:lang w:val="es-ES"/>
        </w:rPr>
        <w:t xml:space="preserve">Artículo 192. </w:t>
      </w:r>
      <w:r w:rsidRPr="00CD0CB8">
        <w:rPr>
          <w:rFonts w:ascii="Palatino Linotype" w:hAnsi="Palatino Linotype" w:cs="Bookman Old Style"/>
          <w:i/>
          <w:lang w:val="es-ES"/>
        </w:rPr>
        <w:t>El recurso será sobreseído, en todo o en parte, cuando una vez admitido, se actualicen alguno de los siguientes supuestos:</w:t>
      </w:r>
    </w:p>
    <w:p w:rsidR="00A170A7" w:rsidRPr="00CD0CB8" w:rsidRDefault="00A170A7" w:rsidP="00A170A7">
      <w:pPr>
        <w:pStyle w:val="Prrafodelista"/>
        <w:autoSpaceDE w:val="0"/>
        <w:autoSpaceDN w:val="0"/>
        <w:adjustRightInd w:val="0"/>
        <w:spacing w:line="360" w:lineRule="auto"/>
        <w:ind w:left="567" w:right="567"/>
        <w:jc w:val="both"/>
        <w:rPr>
          <w:rFonts w:ascii="Palatino Linotype" w:hAnsi="Palatino Linotype" w:cs="Arial"/>
          <w:i/>
        </w:rPr>
      </w:pPr>
      <w:r w:rsidRPr="00CD0CB8">
        <w:rPr>
          <w:rFonts w:ascii="Palatino Linotype" w:hAnsi="Palatino Linotype" w:cs="Bookman Old Style,Bold"/>
          <w:b/>
          <w:bCs/>
          <w:i/>
          <w:lang w:val="es-ES"/>
        </w:rPr>
        <w:t>(…</w:t>
      </w:r>
      <w:r w:rsidRPr="00CD0CB8">
        <w:rPr>
          <w:rFonts w:ascii="Palatino Linotype" w:hAnsi="Palatino Linotype" w:cs="Arial"/>
          <w:i/>
        </w:rPr>
        <w:t>)</w:t>
      </w:r>
    </w:p>
    <w:p w:rsidR="00A170A7" w:rsidRPr="00CD0CB8" w:rsidRDefault="00A170A7" w:rsidP="00A170A7">
      <w:pPr>
        <w:autoSpaceDE w:val="0"/>
        <w:autoSpaceDN w:val="0"/>
        <w:adjustRightInd w:val="0"/>
        <w:spacing w:line="360" w:lineRule="auto"/>
        <w:ind w:left="567" w:right="567"/>
        <w:jc w:val="both"/>
        <w:rPr>
          <w:rFonts w:ascii="Palatino Linotype" w:hAnsi="Palatino Linotype" w:cs="Bookman Old Style"/>
          <w:i/>
          <w:lang w:val="es-ES"/>
        </w:rPr>
      </w:pPr>
      <w:r w:rsidRPr="00CD0CB8">
        <w:rPr>
          <w:rFonts w:ascii="Palatino Linotype" w:hAnsi="Palatino Linotype" w:cs="Bookman Old Style,Bold"/>
          <w:b/>
          <w:bCs/>
          <w:i/>
          <w:lang w:val="es-ES"/>
        </w:rPr>
        <w:t xml:space="preserve">III. </w:t>
      </w:r>
      <w:r w:rsidRPr="00CD0CB8">
        <w:rPr>
          <w:rFonts w:ascii="Palatino Linotype" w:hAnsi="Palatino Linotype" w:cs="Bookman Old Style"/>
          <w:i/>
          <w:lang w:val="es-ES"/>
        </w:rPr>
        <w:t>El sujeto obligado responsable del acto lo modifique o revoque de tal manera que el recurso de revisión quede sin materia;</w:t>
      </w:r>
    </w:p>
    <w:p w:rsidR="00A170A7" w:rsidRPr="00AB5468" w:rsidRDefault="00A170A7" w:rsidP="00A170A7">
      <w:pPr>
        <w:autoSpaceDE w:val="0"/>
        <w:autoSpaceDN w:val="0"/>
        <w:adjustRightInd w:val="0"/>
        <w:spacing w:line="360" w:lineRule="auto"/>
        <w:ind w:left="567" w:right="567"/>
        <w:jc w:val="both"/>
        <w:rPr>
          <w:rFonts w:ascii="Palatino Linotype" w:hAnsi="Palatino Linotype" w:cs="Arial"/>
          <w:i/>
        </w:rPr>
      </w:pPr>
      <w:r w:rsidRPr="00CD0CB8">
        <w:rPr>
          <w:rFonts w:ascii="Palatino Linotype" w:hAnsi="Palatino Linotype" w:cs="Bookman Old Style,Bold"/>
          <w:b/>
          <w:bCs/>
          <w:i/>
          <w:lang w:val="es-ES"/>
        </w:rPr>
        <w:t>(…</w:t>
      </w:r>
      <w:r w:rsidRPr="00CD0CB8">
        <w:rPr>
          <w:rFonts w:ascii="Palatino Linotype" w:hAnsi="Palatino Linotype" w:cs="Arial"/>
          <w:i/>
        </w:rPr>
        <w:t>)</w:t>
      </w:r>
    </w:p>
    <w:p w:rsidR="00A170A7" w:rsidRPr="008920CF" w:rsidRDefault="00A170A7" w:rsidP="00A170A7">
      <w:pPr>
        <w:pStyle w:val="Prrafodelista"/>
        <w:rPr>
          <w:rFonts w:ascii="Palatino Linotype" w:hAnsi="Palatino Linotype"/>
        </w:rPr>
      </w:pPr>
    </w:p>
    <w:p w:rsidR="00A170A7" w:rsidRPr="00995F32" w:rsidRDefault="00A170A7" w:rsidP="00995F32">
      <w:pPr>
        <w:pStyle w:val="Prrafodelista"/>
        <w:numPr>
          <w:ilvl w:val="0"/>
          <w:numId w:val="1"/>
        </w:numPr>
        <w:spacing w:before="240" w:after="240" w:line="360" w:lineRule="auto"/>
        <w:ind w:right="49"/>
        <w:jc w:val="both"/>
        <w:rPr>
          <w:rFonts w:ascii="Palatino Linotype" w:hAnsi="Palatino Linotype"/>
        </w:rPr>
      </w:pPr>
      <w:r w:rsidRPr="00CD0CB8">
        <w:rPr>
          <w:rFonts w:ascii="Palatino Linotype" w:eastAsia="Times New Roman" w:hAnsi="Palatino Linotype" w:cs="Times New Roman"/>
        </w:rPr>
        <w:t xml:space="preserve">Para que se actualice el sobreseimiento de un recurso de revisión, el </w:t>
      </w:r>
      <w:r w:rsidRPr="00CD0CB8">
        <w:rPr>
          <w:rFonts w:ascii="Palatino Linotype" w:eastAsia="Times New Roman" w:hAnsi="Palatino Linotype" w:cs="Times New Roman"/>
          <w:b/>
        </w:rPr>
        <w:t>SUJETO OBLIGADO</w:t>
      </w:r>
      <w:r w:rsidRPr="00CD0CB8">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w:t>
      </w:r>
      <w:r>
        <w:rPr>
          <w:rFonts w:ascii="Palatino Linotype" w:eastAsia="Times New Roman" w:hAnsi="Palatino Linotype" w:cs="Times New Roman"/>
        </w:rPr>
        <w:t>nalidad de que se sea resarcida la afectación al</w:t>
      </w:r>
      <w:r w:rsidRPr="00CD0CB8">
        <w:rPr>
          <w:rFonts w:ascii="Palatino Linotype" w:eastAsia="Times New Roman" w:hAnsi="Palatino Linotype" w:cs="Times New Roman"/>
        </w:rPr>
        <w:t xml:space="preserve"> derecho de acceso a la información pública de la persona y haciendo cesar toda controversia, </w:t>
      </w:r>
      <w:r>
        <w:rPr>
          <w:rFonts w:ascii="Palatino Linotype" w:eastAsia="Times New Roman" w:hAnsi="Palatino Linotype" w:cs="Times New Roman"/>
        </w:rPr>
        <w:t>tal y como ocurrió en el presente asunto.</w:t>
      </w:r>
    </w:p>
    <w:p w:rsidR="00995F32" w:rsidRPr="00995F32" w:rsidRDefault="00995F32" w:rsidP="00995F32">
      <w:pPr>
        <w:pStyle w:val="Prrafodelista"/>
        <w:spacing w:before="240" w:after="240" w:line="360" w:lineRule="auto"/>
        <w:ind w:left="360" w:right="49"/>
        <w:jc w:val="both"/>
        <w:rPr>
          <w:rFonts w:ascii="Palatino Linotype" w:hAnsi="Palatino Linotype"/>
        </w:rPr>
      </w:pPr>
    </w:p>
    <w:p w:rsidR="00A170A7" w:rsidRPr="00995F32" w:rsidRDefault="00A170A7" w:rsidP="00995F32">
      <w:pPr>
        <w:pStyle w:val="Prrafodelista"/>
        <w:numPr>
          <w:ilvl w:val="0"/>
          <w:numId w:val="1"/>
        </w:numPr>
        <w:spacing w:before="240" w:after="240" w:line="360" w:lineRule="auto"/>
        <w:ind w:right="49"/>
        <w:jc w:val="both"/>
        <w:rPr>
          <w:rFonts w:ascii="Palatino Linotype" w:hAnsi="Palatino Linotype"/>
        </w:rPr>
      </w:pPr>
      <w:r w:rsidRPr="00995F32">
        <w:rPr>
          <w:rFonts w:ascii="Palatino Linotype" w:hAnsi="Palatino Linotype" w:cs="Arial"/>
        </w:rPr>
        <w:t xml:space="preserve">En tanto que, un acto impugnado queda sin materia, cuando ha sido satisfecha la pretensión de lo pedido o exigido por </w:t>
      </w:r>
      <w:r w:rsidRPr="00995F32">
        <w:rPr>
          <w:rFonts w:ascii="Palatino Linotype" w:hAnsi="Palatino Linotype" w:cs="Arial"/>
          <w:color w:val="000000"/>
        </w:rPr>
        <w:t>el recurrente</w:t>
      </w:r>
      <w:r w:rsidRPr="00995F32">
        <w:rPr>
          <w:rFonts w:ascii="Palatino Linotype" w:hAnsi="Palatino Linotype" w:cs="Arial"/>
          <w:b/>
        </w:rPr>
        <w:t xml:space="preserve"> </w:t>
      </w:r>
      <w:r w:rsidRPr="00995F32">
        <w:rPr>
          <w:rFonts w:ascii="Palatino Linotype" w:hAnsi="Palatino Linotype" w:cs="Arial"/>
        </w:rPr>
        <w:t xml:space="preserve">de manera que el </w:t>
      </w:r>
      <w:r w:rsidRPr="00995F32">
        <w:rPr>
          <w:rFonts w:ascii="Palatino Linotype" w:hAnsi="Palatino Linotype" w:cs="Arial"/>
          <w:b/>
        </w:rPr>
        <w:t xml:space="preserve">SUJETO OBLIGADO </w:t>
      </w:r>
      <w:r w:rsidRPr="00995F32">
        <w:rPr>
          <w:rFonts w:ascii="Palatino Linotype" w:hAnsi="Palatino Linotype" w:cs="Arial"/>
        </w:rPr>
        <w:t>en un informe justificado complementa la respuesta inicialmente otorgada, cubriendo todos los requisitos para dejar sin materia el recurso.</w:t>
      </w:r>
    </w:p>
    <w:p w:rsidR="00995F32" w:rsidRPr="00995F32" w:rsidRDefault="00995F32" w:rsidP="00995F32">
      <w:pPr>
        <w:pStyle w:val="Prrafodelista"/>
        <w:rPr>
          <w:rFonts w:ascii="Palatino Linotype" w:hAnsi="Palatino Linotype"/>
        </w:rPr>
      </w:pPr>
    </w:p>
    <w:p w:rsidR="00A170A7" w:rsidRPr="00995F32" w:rsidRDefault="00A170A7" w:rsidP="00995F32">
      <w:pPr>
        <w:pStyle w:val="Prrafodelista"/>
        <w:numPr>
          <w:ilvl w:val="0"/>
          <w:numId w:val="1"/>
        </w:numPr>
        <w:spacing w:before="240" w:after="240" w:line="360" w:lineRule="auto"/>
        <w:ind w:right="49"/>
        <w:jc w:val="both"/>
        <w:rPr>
          <w:rFonts w:ascii="Palatino Linotype" w:hAnsi="Palatino Linotype"/>
        </w:rPr>
      </w:pPr>
      <w:r w:rsidRPr="00995F32">
        <w:rPr>
          <w:rFonts w:ascii="Palatino Linotype" w:hAnsi="Palatino Linotype" w:cs="Arial"/>
        </w:rPr>
        <w:lastRenderedPageBreak/>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A170A7" w:rsidRPr="00C752B8" w:rsidRDefault="00A170A7" w:rsidP="00A170A7">
      <w:pPr>
        <w:spacing w:line="360" w:lineRule="auto"/>
        <w:ind w:left="567" w:right="567"/>
        <w:jc w:val="both"/>
        <w:rPr>
          <w:rFonts w:ascii="Palatino Linotype" w:hAnsi="Palatino Linotype" w:cs="Arial"/>
          <w:i/>
        </w:rPr>
      </w:pPr>
      <w:r w:rsidRPr="00C752B8">
        <w:rPr>
          <w:rFonts w:ascii="Palatino Linotype" w:hAnsi="Palatino Linotype" w:cs="Arial"/>
          <w:i/>
        </w:rPr>
        <w:t>“</w:t>
      </w:r>
      <w:r w:rsidRPr="00C752B8">
        <w:rPr>
          <w:rFonts w:ascii="Palatino Linotype" w:hAnsi="Palatino Linotype" w:cs="Arial"/>
          <w:b/>
          <w:i/>
        </w:rPr>
        <w:t>SOBRESEIMIENTO EN EL JUICIO DE AMPARO DIRECTO. IMPIDE EL ESTUDIO DE LAS VIOLACIONES PROCESALES PLANTEADAS EN LOS CONCEPTOS DE VIOLACIÓN.</w:t>
      </w:r>
      <w:r w:rsidRPr="00C752B8">
        <w:rPr>
          <w:rFonts w:ascii="Palatino Linotype" w:hAnsi="Palatino Linotype" w:cs="Arial"/>
          <w:i/>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A170A7" w:rsidRPr="00C752B8" w:rsidRDefault="00A170A7" w:rsidP="00A170A7">
      <w:pPr>
        <w:spacing w:line="360" w:lineRule="auto"/>
        <w:ind w:left="567" w:right="567"/>
        <w:jc w:val="both"/>
        <w:rPr>
          <w:rFonts w:ascii="Palatino Linotype" w:hAnsi="Palatino Linotype" w:cs="Arial"/>
          <w:i/>
        </w:rPr>
      </w:pPr>
      <w:r w:rsidRPr="00C752B8">
        <w:rPr>
          <w:rFonts w:ascii="Palatino Linotype" w:hAnsi="Palatino Linotype" w:cs="Arial"/>
          <w:i/>
        </w:rPr>
        <w:t>SEPTIMO TRIBUNAL COLEGIADO EN MATERIA CIVIL DEL PRIMER CIRCUITO</w:t>
      </w:r>
    </w:p>
    <w:p w:rsidR="00A170A7" w:rsidRPr="00C752B8" w:rsidRDefault="00A170A7" w:rsidP="00A170A7">
      <w:pPr>
        <w:spacing w:line="360" w:lineRule="auto"/>
        <w:ind w:left="567" w:right="567"/>
        <w:jc w:val="both"/>
        <w:rPr>
          <w:rFonts w:ascii="Palatino Linotype" w:hAnsi="Palatino Linotype" w:cs="Arial"/>
          <w:i/>
        </w:rPr>
      </w:pPr>
      <w:r w:rsidRPr="00C752B8">
        <w:rPr>
          <w:rFonts w:ascii="Palatino Linotype" w:hAnsi="Palatino Linotype" w:cs="Arial"/>
          <w:i/>
        </w:rPr>
        <w:t xml:space="preserve">Amparo directo 699/2008. Mariana Leticia González </w:t>
      </w:r>
      <w:proofErr w:type="spellStart"/>
      <w:r w:rsidRPr="00C752B8">
        <w:rPr>
          <w:rFonts w:ascii="Palatino Linotype" w:hAnsi="Palatino Linotype" w:cs="Arial"/>
          <w:i/>
        </w:rPr>
        <w:t>Steele</w:t>
      </w:r>
      <w:proofErr w:type="spellEnd"/>
      <w:r w:rsidRPr="00C752B8">
        <w:rPr>
          <w:rFonts w:ascii="Palatino Linotype" w:hAnsi="Palatino Linotype" w:cs="Arial"/>
          <w:i/>
        </w:rPr>
        <w:t>. 13 de noviembre de 2008. Unanimidad de votos. Ponente: Sara Judith Montalvo Trejo. Secretario: Arnulfo Mateos García.”</w:t>
      </w:r>
    </w:p>
    <w:p w:rsidR="00A170A7" w:rsidRDefault="00A170A7" w:rsidP="00A170A7">
      <w:pPr>
        <w:spacing w:line="360" w:lineRule="auto"/>
        <w:jc w:val="both"/>
        <w:rPr>
          <w:rFonts w:ascii="Palatino Linotype" w:hAnsi="Palatino Linotype" w:cs="Arial"/>
        </w:rPr>
      </w:pPr>
    </w:p>
    <w:p w:rsidR="00995F32" w:rsidRPr="00252533" w:rsidRDefault="00A170A7" w:rsidP="00252533">
      <w:pPr>
        <w:pStyle w:val="Prrafodelista"/>
        <w:numPr>
          <w:ilvl w:val="0"/>
          <w:numId w:val="1"/>
        </w:numPr>
        <w:spacing w:after="0" w:line="360" w:lineRule="auto"/>
        <w:ind w:left="426" w:hanging="426"/>
        <w:jc w:val="both"/>
        <w:rPr>
          <w:rFonts w:ascii="Palatino Linotype" w:hAnsi="Palatino Linotype" w:cs="Arial"/>
          <w:sz w:val="24"/>
          <w:szCs w:val="24"/>
        </w:rPr>
      </w:pPr>
      <w:r w:rsidRPr="005D25AB">
        <w:rPr>
          <w:rFonts w:ascii="Palatino Linotype" w:hAnsi="Palatino Linotype" w:cs="Arial"/>
        </w:rPr>
        <w:t>Bajo esas consideraciones, se afirma que en el recurso de revisión sujeto a estudio se actualiz</w:t>
      </w:r>
      <w:r w:rsidR="00995F32">
        <w:rPr>
          <w:rFonts w:ascii="Palatino Linotype" w:hAnsi="Palatino Linotype" w:cs="Arial"/>
        </w:rPr>
        <w:t>ó</w:t>
      </w:r>
      <w:r w:rsidRPr="005D25AB">
        <w:rPr>
          <w:rFonts w:ascii="Palatino Linotype" w:hAnsi="Palatino Linotype" w:cs="Arial"/>
        </w:rPr>
        <w:t xml:space="preserve"> la hipótesis jurídica citada, toda vez que quedó probado que el </w:t>
      </w:r>
      <w:r w:rsidRPr="005D25AB">
        <w:rPr>
          <w:rFonts w:ascii="Palatino Linotype" w:hAnsi="Palatino Linotype" w:cs="Arial"/>
          <w:b/>
        </w:rPr>
        <w:t xml:space="preserve">SUJETO </w:t>
      </w:r>
      <w:r w:rsidRPr="005D25AB">
        <w:rPr>
          <w:rFonts w:ascii="Palatino Linotype" w:hAnsi="Palatino Linotype" w:cs="Arial"/>
          <w:b/>
        </w:rPr>
        <w:lastRenderedPageBreak/>
        <w:t>OBLIGADO</w:t>
      </w:r>
      <w:r w:rsidRPr="005D25AB">
        <w:rPr>
          <w:rFonts w:ascii="Palatino Linotype" w:hAnsi="Palatino Linotype" w:cs="Arial"/>
        </w:rPr>
        <w:t xml:space="preserve"> mediante un acto posterior co</w:t>
      </w:r>
      <w:r>
        <w:rPr>
          <w:rFonts w:ascii="Palatino Linotype" w:hAnsi="Palatino Linotype" w:cs="Arial"/>
        </w:rPr>
        <w:t xml:space="preserve">mo lo es el Informe justificado </w:t>
      </w:r>
      <w:r w:rsidR="00995F32">
        <w:rPr>
          <w:rFonts w:ascii="Palatino Linotype" w:hAnsi="Palatino Linotype" w:cs="Arial"/>
        </w:rPr>
        <w:t>aporta los elementos necesarios para atender la solicitud de acceso a la información a la vez que combate los motivos o razones de inconformidad hechos valer por la parte recurrente.</w:t>
      </w:r>
      <w:r w:rsidR="00995F32">
        <w:rPr>
          <w:rFonts w:ascii="Palatino Linotype" w:hAnsi="Palatino Linotype" w:cs="Arial"/>
          <w:sz w:val="24"/>
          <w:szCs w:val="24"/>
        </w:rPr>
        <w:t xml:space="preserve"> </w:t>
      </w:r>
    </w:p>
    <w:p w:rsidR="0046491C" w:rsidRPr="00701720" w:rsidRDefault="00995F32" w:rsidP="00701720">
      <w:pPr>
        <w:pStyle w:val="Ttulo1"/>
        <w:numPr>
          <w:ilvl w:val="0"/>
          <w:numId w:val="12"/>
        </w:numPr>
        <w:spacing w:line="360" w:lineRule="auto"/>
        <w:rPr>
          <w:rFonts w:ascii="Palatino Linotype" w:hAnsi="Palatino Linotype"/>
          <w:b/>
          <w:color w:val="auto"/>
          <w:sz w:val="24"/>
          <w:szCs w:val="24"/>
        </w:rPr>
      </w:pPr>
      <w:bookmarkStart w:id="4" w:name="_Toc522548415"/>
      <w:r>
        <w:rPr>
          <w:rFonts w:ascii="Palatino Linotype" w:hAnsi="Palatino Linotype"/>
          <w:b/>
          <w:color w:val="auto"/>
          <w:sz w:val="24"/>
          <w:szCs w:val="24"/>
        </w:rPr>
        <w:t>Conclusión</w:t>
      </w:r>
      <w:bookmarkEnd w:id="4"/>
    </w:p>
    <w:p w:rsidR="0046491C" w:rsidRPr="00701720" w:rsidRDefault="0046491C" w:rsidP="00701720">
      <w:pPr>
        <w:pStyle w:val="Prrafodelista"/>
        <w:spacing w:after="0" w:line="360" w:lineRule="auto"/>
        <w:ind w:left="1080"/>
        <w:jc w:val="both"/>
        <w:rPr>
          <w:rFonts w:ascii="Palatino Linotype" w:hAnsi="Palatino Linotype" w:cs="Arial"/>
          <w:b/>
          <w:sz w:val="24"/>
          <w:szCs w:val="24"/>
        </w:rPr>
      </w:pPr>
    </w:p>
    <w:p w:rsidR="00721927" w:rsidRPr="00995F32" w:rsidRDefault="00995F32" w:rsidP="006C3503">
      <w:pPr>
        <w:pStyle w:val="Prrafodelista"/>
        <w:numPr>
          <w:ilvl w:val="0"/>
          <w:numId w:val="1"/>
        </w:numPr>
        <w:spacing w:after="0" w:line="360" w:lineRule="auto"/>
        <w:ind w:left="426"/>
        <w:jc w:val="both"/>
        <w:rPr>
          <w:rFonts w:ascii="Palatino Linotype" w:hAnsi="Palatino Linotype" w:cs="Arial"/>
          <w:sz w:val="24"/>
          <w:szCs w:val="24"/>
        </w:rPr>
      </w:pPr>
      <w:r w:rsidRPr="00995F32">
        <w:rPr>
          <w:rFonts w:ascii="Palatino Linotype" w:hAnsi="Palatino Linotype" w:cs="Arial"/>
          <w:sz w:val="24"/>
          <w:szCs w:val="24"/>
        </w:rPr>
        <w:t xml:space="preserve">Al momento de resolver un recurso de revisión se deben apreciar y valorar todas las aportaciones hechas por las partes, a efecto de concluir el recurso de revisión con el sentido que más favorezca </w:t>
      </w:r>
      <w:r>
        <w:rPr>
          <w:rFonts w:ascii="Palatino Linotype" w:hAnsi="Palatino Linotype" w:cs="Arial"/>
          <w:sz w:val="24"/>
          <w:szCs w:val="24"/>
        </w:rPr>
        <w:t>y en el presente asunto en particular se aprecia que el Sujeto Obligado al rendir el correspondiente informe justificado aporto elementos que dan certeza sobre los motivos por los cuales no cuenta con la información solicitada, por lo que el sentido idóneo debió ser un sobreseimiento más no así, un confirma.</w:t>
      </w:r>
    </w:p>
    <w:p w:rsidR="0046491C" w:rsidRDefault="0046491C" w:rsidP="00701720">
      <w:pPr>
        <w:spacing w:after="0" w:line="360" w:lineRule="auto"/>
        <w:jc w:val="both"/>
        <w:rPr>
          <w:rFonts w:ascii="Palatino Linotype" w:hAnsi="Palatino Linotype" w:cs="Arial"/>
          <w:sz w:val="24"/>
          <w:szCs w:val="24"/>
        </w:rPr>
      </w:pPr>
    </w:p>
    <w:p w:rsidR="0022073B" w:rsidRPr="00701720" w:rsidRDefault="0022073B" w:rsidP="00701720">
      <w:pPr>
        <w:spacing w:after="0" w:line="360" w:lineRule="auto"/>
        <w:jc w:val="both"/>
        <w:rPr>
          <w:rFonts w:ascii="Palatino Linotype" w:hAnsi="Palatino Linotype" w:cs="Arial"/>
          <w:sz w:val="24"/>
          <w:szCs w:val="24"/>
        </w:rPr>
      </w:pPr>
    </w:p>
    <w:p w:rsidR="0046491C" w:rsidRPr="00701720" w:rsidRDefault="0046491C" w:rsidP="00701720">
      <w:pPr>
        <w:spacing w:line="360" w:lineRule="auto"/>
        <w:rPr>
          <w:rFonts w:ascii="Palatino Linotype" w:hAnsi="Palatino Linotype"/>
          <w:sz w:val="24"/>
          <w:szCs w:val="24"/>
        </w:rPr>
      </w:pPr>
    </w:p>
    <w:p w:rsidR="0046491C" w:rsidRPr="00701720" w:rsidRDefault="0046491C" w:rsidP="00701720">
      <w:pPr>
        <w:pStyle w:val="Sinespaciado"/>
        <w:spacing w:line="360" w:lineRule="auto"/>
        <w:jc w:val="center"/>
        <w:rPr>
          <w:rFonts w:ascii="Palatino Linotype" w:hAnsi="Palatino Linotype"/>
          <w:b/>
          <w:sz w:val="24"/>
          <w:szCs w:val="24"/>
        </w:rPr>
      </w:pPr>
      <w:r w:rsidRPr="00701720">
        <w:rPr>
          <w:rFonts w:ascii="Palatino Linotype" w:hAnsi="Palatino Linotype"/>
          <w:b/>
          <w:sz w:val="24"/>
          <w:szCs w:val="24"/>
        </w:rPr>
        <w:t>JOSÉ GUADALUPE LUNA HERNÁNDEZ</w:t>
      </w:r>
    </w:p>
    <w:p w:rsidR="0046491C" w:rsidRPr="00701720" w:rsidRDefault="0046491C" w:rsidP="00701720">
      <w:pPr>
        <w:spacing w:line="360" w:lineRule="auto"/>
        <w:jc w:val="center"/>
        <w:rPr>
          <w:rFonts w:ascii="Palatino Linotype" w:hAnsi="Palatino Linotype"/>
        </w:rPr>
      </w:pPr>
      <w:r w:rsidRPr="00701720">
        <w:rPr>
          <w:rFonts w:ascii="Palatino Linotype" w:hAnsi="Palatino Linotype"/>
          <w:b/>
          <w:sz w:val="24"/>
          <w:szCs w:val="24"/>
        </w:rPr>
        <w:t>COMISIONADO</w:t>
      </w:r>
    </w:p>
    <w:p w:rsidR="00D33AF9" w:rsidRDefault="00D33AF9" w:rsidP="00701720">
      <w:pPr>
        <w:spacing w:line="360" w:lineRule="auto"/>
        <w:jc w:val="center"/>
        <w:rPr>
          <w:rFonts w:ascii="Palatino Linotype" w:hAnsi="Palatino Linotype"/>
          <w:b/>
          <w:sz w:val="24"/>
          <w:szCs w:val="24"/>
        </w:rPr>
      </w:pPr>
      <w:r w:rsidRPr="00701720">
        <w:rPr>
          <w:rFonts w:ascii="Palatino Linotype" w:hAnsi="Palatino Linotype"/>
          <w:b/>
          <w:sz w:val="24"/>
          <w:szCs w:val="24"/>
        </w:rPr>
        <w:t>(Rúbrica)</w:t>
      </w:r>
    </w:p>
    <w:p w:rsidR="0022073B" w:rsidRPr="00701720" w:rsidRDefault="0022073B" w:rsidP="0022073B">
      <w:pPr>
        <w:spacing w:line="360" w:lineRule="auto"/>
        <w:rPr>
          <w:rFonts w:ascii="Palatino Linotype" w:hAnsi="Palatino Linotype"/>
          <w:b/>
          <w:sz w:val="24"/>
          <w:szCs w:val="24"/>
        </w:rPr>
      </w:pPr>
      <w:r>
        <w:rPr>
          <w:rFonts w:ascii="Palatino Linotype" w:hAnsi="Palatino Linotype"/>
          <w:b/>
          <w:sz w:val="24"/>
          <w:szCs w:val="24"/>
        </w:rPr>
        <w:t>JGLH/ADM</w:t>
      </w:r>
    </w:p>
    <w:sectPr w:rsidR="0022073B" w:rsidRPr="00701720" w:rsidSect="00A452AD">
      <w:headerReference w:type="even" r:id="rId10"/>
      <w:headerReference w:type="default" r:id="rId11"/>
      <w:footerReference w:type="even" r:id="rId12"/>
      <w:footerReference w:type="default" r:id="rId13"/>
      <w:headerReference w:type="first" r:id="rId14"/>
      <w:footerReference w:type="first" r:id="rId15"/>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1D7" w:rsidRDefault="003C21D7" w:rsidP="00E706DA">
      <w:pPr>
        <w:spacing w:after="0" w:line="240" w:lineRule="auto"/>
      </w:pPr>
      <w:r>
        <w:separator/>
      </w:r>
    </w:p>
  </w:endnote>
  <w:endnote w:type="continuationSeparator" w:id="0">
    <w:p w:rsidR="003C21D7" w:rsidRDefault="003C21D7"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AD" w:rsidRDefault="00A452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A452A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7314F4">
              <w:rPr>
                <w:rFonts w:ascii="Palatino Linotype" w:hAnsi="Palatino Linotype"/>
                <w:b/>
                <w:bCs/>
                <w:noProof/>
                <w:sz w:val="20"/>
                <w:szCs w:val="20"/>
              </w:rPr>
              <w:t>3</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7314F4">
              <w:rPr>
                <w:rFonts w:ascii="Palatino Linotype" w:hAnsi="Palatino Linotype"/>
                <w:b/>
                <w:bCs/>
                <w:noProof/>
                <w:sz w:val="20"/>
                <w:szCs w:val="20"/>
              </w:rPr>
              <w:t>9</w:t>
            </w:r>
            <w:r w:rsidRPr="0052203D">
              <w:rPr>
                <w:rFonts w:ascii="Palatino Linotype" w:hAnsi="Palatino Linotype"/>
                <w:b/>
                <w:bCs/>
                <w:sz w:val="20"/>
                <w:szCs w:val="20"/>
              </w:rPr>
              <w:fldChar w:fldCharType="end"/>
            </w:r>
          </w:p>
        </w:sdtContent>
      </w:sdt>
    </w:sdtContent>
  </w:sdt>
  <w:p w:rsidR="00A452AD" w:rsidRDefault="00A452A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AD" w:rsidRDefault="00A452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1D7" w:rsidRDefault="003C21D7" w:rsidP="00E706DA">
      <w:pPr>
        <w:spacing w:after="0" w:line="240" w:lineRule="auto"/>
      </w:pPr>
      <w:r>
        <w:separator/>
      </w:r>
    </w:p>
  </w:footnote>
  <w:footnote w:type="continuationSeparator" w:id="0">
    <w:p w:rsidR="003C21D7" w:rsidRDefault="003C21D7" w:rsidP="00E70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AD" w:rsidRDefault="003C21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AD" w:rsidRDefault="003C21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A452AD" w:rsidRDefault="00A452A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AD" w:rsidRDefault="003C21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646B"/>
    <w:multiLevelType w:val="hybridMultilevel"/>
    <w:tmpl w:val="684CA87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9D048C"/>
    <w:multiLevelType w:val="hybridMultilevel"/>
    <w:tmpl w:val="FEBE86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6"/>
  </w:num>
  <w:num w:numId="5">
    <w:abstractNumId w:val="7"/>
  </w:num>
  <w:num w:numId="6">
    <w:abstractNumId w:val="9"/>
  </w:num>
  <w:num w:numId="7">
    <w:abstractNumId w:val="11"/>
  </w:num>
  <w:num w:numId="8">
    <w:abstractNumId w:val="10"/>
  </w:num>
  <w:num w:numId="9">
    <w:abstractNumId w:val="13"/>
  </w:num>
  <w:num w:numId="10">
    <w:abstractNumId w:val="2"/>
  </w:num>
  <w:num w:numId="11">
    <w:abstractNumId w:val="12"/>
  </w:num>
  <w:num w:numId="12">
    <w:abstractNumId w:val="5"/>
  </w:num>
  <w:num w:numId="13">
    <w:abstractNumId w:val="0"/>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73F0D"/>
    <w:rsid w:val="00076995"/>
    <w:rsid w:val="000951B4"/>
    <w:rsid w:val="000A7B66"/>
    <w:rsid w:val="000B10FB"/>
    <w:rsid w:val="000C1EAC"/>
    <w:rsid w:val="000D21B2"/>
    <w:rsid w:val="000E116E"/>
    <w:rsid w:val="000F6CBB"/>
    <w:rsid w:val="00102A1D"/>
    <w:rsid w:val="001032E9"/>
    <w:rsid w:val="00122625"/>
    <w:rsid w:val="00163EA9"/>
    <w:rsid w:val="001C4781"/>
    <w:rsid w:val="001D3F34"/>
    <w:rsid w:val="002036ED"/>
    <w:rsid w:val="0022073B"/>
    <w:rsid w:val="00252533"/>
    <w:rsid w:val="002620E9"/>
    <w:rsid w:val="0026312A"/>
    <w:rsid w:val="00277A84"/>
    <w:rsid w:val="00281310"/>
    <w:rsid w:val="00292284"/>
    <w:rsid w:val="002C1F75"/>
    <w:rsid w:val="00303C52"/>
    <w:rsid w:val="00351A99"/>
    <w:rsid w:val="003705BB"/>
    <w:rsid w:val="003747A5"/>
    <w:rsid w:val="003A106A"/>
    <w:rsid w:val="003A4516"/>
    <w:rsid w:val="003C21D7"/>
    <w:rsid w:val="003E583E"/>
    <w:rsid w:val="0046491C"/>
    <w:rsid w:val="00480635"/>
    <w:rsid w:val="0048389B"/>
    <w:rsid w:val="0048398A"/>
    <w:rsid w:val="005571B2"/>
    <w:rsid w:val="00597BF9"/>
    <w:rsid w:val="005A3267"/>
    <w:rsid w:val="00634736"/>
    <w:rsid w:val="006728FD"/>
    <w:rsid w:val="00701720"/>
    <w:rsid w:val="00717C0D"/>
    <w:rsid w:val="0072136B"/>
    <w:rsid w:val="00721927"/>
    <w:rsid w:val="007314F4"/>
    <w:rsid w:val="007624F6"/>
    <w:rsid w:val="00770016"/>
    <w:rsid w:val="00790E37"/>
    <w:rsid w:val="007A0697"/>
    <w:rsid w:val="007A0CFC"/>
    <w:rsid w:val="007A45EB"/>
    <w:rsid w:val="007B0C38"/>
    <w:rsid w:val="007C168F"/>
    <w:rsid w:val="00814E97"/>
    <w:rsid w:val="008361CA"/>
    <w:rsid w:val="00850252"/>
    <w:rsid w:val="00856FA1"/>
    <w:rsid w:val="008822B3"/>
    <w:rsid w:val="008B03B6"/>
    <w:rsid w:val="008F3E81"/>
    <w:rsid w:val="00900E75"/>
    <w:rsid w:val="00902248"/>
    <w:rsid w:val="00937D7D"/>
    <w:rsid w:val="00951D24"/>
    <w:rsid w:val="00973B1C"/>
    <w:rsid w:val="00995F32"/>
    <w:rsid w:val="009C4599"/>
    <w:rsid w:val="00A050DF"/>
    <w:rsid w:val="00A170A7"/>
    <w:rsid w:val="00A35520"/>
    <w:rsid w:val="00A3688A"/>
    <w:rsid w:val="00A452AD"/>
    <w:rsid w:val="00A63717"/>
    <w:rsid w:val="00A700E3"/>
    <w:rsid w:val="00A84F55"/>
    <w:rsid w:val="00AA49F3"/>
    <w:rsid w:val="00AA4A3A"/>
    <w:rsid w:val="00AB023D"/>
    <w:rsid w:val="00AC381E"/>
    <w:rsid w:val="00B4436F"/>
    <w:rsid w:val="00B80786"/>
    <w:rsid w:val="00BC7B0C"/>
    <w:rsid w:val="00C74C80"/>
    <w:rsid w:val="00CE0823"/>
    <w:rsid w:val="00D33AF9"/>
    <w:rsid w:val="00D363F7"/>
    <w:rsid w:val="00D72985"/>
    <w:rsid w:val="00D7508B"/>
    <w:rsid w:val="00D95234"/>
    <w:rsid w:val="00DB5EF6"/>
    <w:rsid w:val="00DD08C4"/>
    <w:rsid w:val="00DF0520"/>
    <w:rsid w:val="00DF6F7E"/>
    <w:rsid w:val="00E61AB8"/>
    <w:rsid w:val="00E65413"/>
    <w:rsid w:val="00E706DA"/>
    <w:rsid w:val="00E83E93"/>
    <w:rsid w:val="00E94FBF"/>
    <w:rsid w:val="00EA4B5B"/>
    <w:rsid w:val="00EB2320"/>
    <w:rsid w:val="00EE6533"/>
    <w:rsid w:val="00F857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075CFD8-9EE7-41A1-8544-F0C1A75C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02A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rsid w:val="00102A1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 w:id="212194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4304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543252.page"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EB9A0-B106-494A-961D-7DE5195A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1626</Words>
  <Characters>8945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2016-10-20T23:14:00Z</cp:lastPrinted>
  <dcterms:created xsi:type="dcterms:W3CDTF">2018-11-06T19:05:00Z</dcterms:created>
  <dcterms:modified xsi:type="dcterms:W3CDTF">2018-11-06T19:10:00Z</dcterms:modified>
</cp:coreProperties>
</file>